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096"/>
        </w:tabs>
        <w:spacing w:after="0"/>
        <w:rPr>
          <w:rFonts w:ascii="Times New Roman" w:hAnsi="Times New Roman" w:eastAsia="Arial" w:cs="Times New Roman"/>
          <w:b/>
          <w:bCs/>
          <w:lang w:val="lt-LT"/>
        </w:rPr>
      </w:pPr>
      <w:bookmarkStart w:id="4" w:name="_GoBack"/>
      <w:bookmarkEnd w:id="4"/>
      <w:r>
        <w:rPr>
          <w:rFonts w:ascii="Times New Roman" w:hAnsi="Times New Roman" w:cs="Times New Roman"/>
          <w:lang w:val="lt-LT"/>
        </w:rPr>
        <w:tab/>
      </w:r>
      <w:r>
        <w:rPr>
          <w:rFonts w:ascii="Times New Roman" w:hAnsi="Times New Roman" w:cs="Times New Roman"/>
          <w:lang w:val="lt-LT"/>
        </w:rPr>
        <w:t>PATVIRTINTA</w:t>
      </w:r>
    </w:p>
    <w:p>
      <w:pPr>
        <w:tabs>
          <w:tab w:val="left" w:pos="6096"/>
        </w:tabs>
        <w:spacing w:after="0"/>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Klaipėdos uostamiesčio progimnazijos</w:t>
      </w:r>
    </w:p>
    <w:p>
      <w:pPr>
        <w:tabs>
          <w:tab w:val="left" w:pos="609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direktoriaus 2026 m. rugpjūčio 31   d.</w:t>
      </w:r>
    </w:p>
    <w:p>
      <w:pPr>
        <w:tabs>
          <w:tab w:val="left" w:pos="609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b/>
      </w:r>
      <w:r>
        <w:rPr>
          <w:rFonts w:ascii="Times New Roman" w:hAnsi="Times New Roman" w:eastAsia="Times New Roman" w:cs="Times New Roman"/>
          <w:lang w:val="lt-LT"/>
        </w:rPr>
        <w:t>įsakymu Nr. V1- 41</w:t>
      </w:r>
    </w:p>
    <w:p>
      <w:pPr>
        <w:tabs>
          <w:tab w:val="left" w:pos="5103"/>
          <w:tab w:val="left" w:pos="6300"/>
        </w:tabs>
        <w:spacing w:after="0" w:line="240" w:lineRule="auto"/>
        <w:jc w:val="both"/>
        <w:rPr>
          <w:rFonts w:ascii="Times New Roman" w:hAnsi="Times New Roman" w:eastAsia="Times New Roman" w:cs="Times New Roman"/>
          <w:sz w:val="24"/>
          <w:szCs w:val="24"/>
          <w:lang w:val="lt-LT"/>
        </w:rPr>
      </w:pPr>
    </w:p>
    <w:p>
      <w:pPr>
        <w:tabs>
          <w:tab w:val="left" w:pos="5103"/>
          <w:tab w:val="left" w:pos="6300"/>
        </w:tabs>
        <w:spacing w:after="0" w:line="240" w:lineRule="auto"/>
        <w:jc w:val="both"/>
        <w:rPr>
          <w:rFonts w:ascii="Times New Roman" w:hAnsi="Times New Roman" w:eastAsia="Times New Roman" w:cs="Times New Roman"/>
          <w:sz w:val="24"/>
          <w:szCs w:val="24"/>
          <w:lang w:val="lt-LT"/>
        </w:rPr>
      </w:pPr>
    </w:p>
    <w:p>
      <w:pPr>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KLAIPĖDOS UOSTAMIESČIO PROGIMNAZIJOS 2026</w:t>
      </w:r>
      <w:r>
        <w:rPr>
          <w:rFonts w:ascii="Times New Roman" w:hAnsi="Times New Roman" w:eastAsia="Times New Roman" w:cs="Times New Roman"/>
          <w:sz w:val="24"/>
          <w:szCs w:val="24"/>
          <w:lang w:val="lt-LT"/>
        </w:rPr>
        <w:t>–</w:t>
      </w:r>
      <w:r>
        <w:rPr>
          <w:rFonts w:ascii="Times New Roman" w:hAnsi="Times New Roman" w:eastAsia="Times New Roman" w:cs="Times New Roman"/>
          <w:b/>
          <w:bCs/>
          <w:sz w:val="24"/>
          <w:szCs w:val="24"/>
          <w:lang w:val="lt-LT"/>
        </w:rPr>
        <w:t>2027 MOKSLO METŲ UGDYMO PLANAS</w:t>
      </w:r>
    </w:p>
    <w:p>
      <w:pPr>
        <w:spacing w:after="0" w:line="240" w:lineRule="auto"/>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I SKYRIUS</w:t>
      </w: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BENDROSIOS NUOSTATOS</w:t>
      </w:r>
    </w:p>
    <w:p>
      <w:pPr>
        <w:spacing w:after="0" w:line="240" w:lineRule="auto"/>
        <w:jc w:val="center"/>
        <w:rPr>
          <w:rFonts w:ascii="Times New Roman" w:hAnsi="Times New Roman" w:eastAsia="Times New Roman" w:cs="Times New Roman"/>
          <w:color w:val="000000"/>
          <w:sz w:val="24"/>
          <w:szCs w:val="24"/>
          <w:lang w:val="lt-LT"/>
        </w:rPr>
      </w:pPr>
    </w:p>
    <w:p>
      <w:pPr>
        <w:pStyle w:val="16"/>
        <w:numPr>
          <w:ilvl w:val="0"/>
          <w:numId w:val="1"/>
        </w:numPr>
        <w:tabs>
          <w:tab w:val="left" w:pos="993"/>
        </w:tabs>
        <w:ind w:left="0" w:firstLine="709"/>
        <w:jc w:val="both"/>
      </w:pPr>
      <w:r>
        <w:t xml:space="preserve">Klaipėdos uostamiesčio progimnazijos (toliau </w:t>
      </w:r>
      <w:r>
        <w:rPr>
          <w:rFonts w:eastAsia="Noto Sans Symbols"/>
        </w:rPr>
        <w:t>−</w:t>
      </w:r>
      <w:r>
        <w:t xml:space="preserve"> Progimnazija) ugdymo plano projektą parengė direktoriaus 2026 m. birželio 3 d. įsakymu Nr. V1- 35 patvirtinta darbo grupė.</w:t>
      </w:r>
      <w:r>
        <w:rPr>
          <w:b/>
          <w:bCs/>
        </w:rPr>
        <w:t xml:space="preserve"> </w:t>
      </w:r>
    </w:p>
    <w:p>
      <w:pPr>
        <w:pStyle w:val="16"/>
        <w:numPr>
          <w:ilvl w:val="0"/>
          <w:numId w:val="1"/>
        </w:numPr>
        <w:tabs>
          <w:tab w:val="left" w:pos="993"/>
        </w:tabs>
        <w:ind w:left="0" w:firstLine="709"/>
        <w:jc w:val="both"/>
      </w:pPr>
      <w:r>
        <w:t xml:space="preserve">Progimnazijos bendruomenė su ugdymo plano projektu supažindinta 2026 m. rugpjūčio 21 d. Projektas svarstytas Progimnazijos taryboje, Mokytojų taryboje, mokytojų metodinėse grupėse. </w:t>
      </w:r>
    </w:p>
    <w:p>
      <w:pPr>
        <w:pStyle w:val="16"/>
        <w:numPr>
          <w:ilvl w:val="0"/>
          <w:numId w:val="1"/>
        </w:numPr>
        <w:tabs>
          <w:tab w:val="left" w:pos="993"/>
        </w:tabs>
        <w:ind w:left="0" w:firstLine="709"/>
        <w:jc w:val="both"/>
      </w:pPr>
      <w:r>
        <w:t>Progimnazijos ugdymo planas parengtas vieneriems 2026</w:t>
      </w:r>
      <w:r>
        <w:rPr>
          <w:rFonts w:eastAsia="Noto Sans Symbols"/>
        </w:rPr>
        <w:t>−</w:t>
      </w:r>
      <w:r>
        <w:t>2027 mokslo metams ir reglamentuoja pradinio, pagrindinio ugdymo I dalies, neformaliojo vaikų švietimo programų bei humanistinės kultūros ugdymo menine veikla sampratos elementų įgyvendinimą.</w:t>
      </w:r>
    </w:p>
    <w:p>
      <w:pPr>
        <w:keepNext/>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4. 2026–2027 mokslo metų Progimnazijos ugdymo planas parengtas vadovaujantis 2025–2026 ir 2026–2027 mokslo metų pradinio, pagrindinio ir vidurinio ugdymo programų bendraisiais ugdymo planais, patvirtintais Lietuvos Respublikos švietimo, mokslo ir sporto ministro 2025 m. gegužės 21 d. įsakymu Nr. V-559 „Dėl 2025–2026 ir 2026–2027 mokslo metų pradinio, pagrindinio ir vidurinio ugdymo programų bendrųjų ugdymo planų patvirtinimo“, Mokymosi pagal formaliojo švietimo programas (išskyrus aukštojo mokslo studijų programas) formų ir mokymo organizavimo tvarkos aprašu, patvirtintu Lietuvos Respublikos švietimo, mokslo ir sporto ministro 2012 m. birželio 28 d. įsakymu Nr. V-1049, ir kitais ugdymo procesą reglamentuojančiais teisės aktais.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5. 2026–2027 mokslo metais įgyvendinamos Pradinio ir pagrindinio ugdymo bendrosios programos, patvirtintos Lietuvos Respublikos švietimo, mokslo ir sporto ministro 2022 m. rugpjūčio 24 d. </w:t>
      </w:r>
      <w:r>
        <w:rPr>
          <w:rFonts w:ascii="Times New Roman" w:hAnsi="Times New Roman" w:eastAsia="Times New Roman" w:cs="Times New Roman"/>
          <w:color w:val="000000"/>
          <w:sz w:val="24"/>
          <w:szCs w:val="24"/>
          <w:highlight w:val="white"/>
          <w:lang w:val="lt-LT"/>
        </w:rPr>
        <w:t>įsakymu Nr. V-1269 „Dėl Priešmokyklinio, pradinio, pagrindinio ir vidurinio ugdymo b</w:t>
      </w:r>
      <w:r>
        <w:rPr>
          <w:rFonts w:ascii="Times New Roman" w:hAnsi="Times New Roman" w:eastAsia="Times New Roman" w:cs="Times New Roman"/>
          <w:color w:val="000000"/>
          <w:sz w:val="24"/>
          <w:szCs w:val="24"/>
          <w:lang w:val="lt-LT"/>
        </w:rPr>
        <w:t>endrųjų programų patvirtinimo“ (toliau – bendrosios programos).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6. Formuojant Progimnazijos ugdymo turinį ir rengiant 2026−2027 mokslo metų ugdymo planą, atsižvelgta į mokinių pasiekimų ir pažangos vertinimo ugdymo procese informaciją, Progimnazijos veiklos įsivertinimo duomenis, finansinius išteklius, mokinių skaičių, jų socialinį kontekstą, konkrečius mokinių ugdymo(si) poreikius, Progimnazijos bendruomenės pageidavimus, ugdymo ir veiklos tikslus, prioritetus bei 2025−2026 m. m. ugdymo plano įgyvendinimo rezultatus.</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7. 2025–2026 mokslo metų ugdymo plano įgyvendinimo įvertinimas. 2025 m. rugsėjo 1 d. duomenimis, Progimnazijoje ugdyti 769 mokiniai, iš jų: 20 priešmokyklinio ugdymo grupės ugdytinių, 332 mokiniai – 1–4 klasėse ir 417 mokinių – 5–8 klasėse.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Organizuojant 2025–2026 m. m. ugdymo procesą, prioritetinis dėmesys buvo skiriamas įvairių gebėjimų mokinių mokymosi pagalbai, įtraukiojo ugdymo stiprinimui ir sąlygų kiekvienam mokiniui patirti ugdymosi sėkmę sudarymui. Siekiant šių tikslų, buvo organizuojamas mokytojų profesinių kompetencijų tobulinimas, parengti visų mokomųjų dalykų ilgalaikiai planai 1–8 klasėms, papildytas vadovėlių fondas, įsigyta naujų mokymo priemonių, nuosekliai įgyvendintas atnaujintas ugdymo turinys. Didelis dėmesys skirtas kompetencijomis grindžiamam mokinių pasiekimų vertinimui ir ugdymo kokybės gerinimui.</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Įgyvendinant atnaujintas bendrąsias programas, mokytojai aktyviai taikė dalykų integravimą, įvairino ugdymo metodus, organizavo patyrimines ir projektines veiklas, atsižvelgė į individualius mokinių ugdymosi poreikius bei sudarė sąlygas kiekvienam mokiniui siekti aukštesnių mokymosi rezultatų. Progimnazijoje organizuotos integruotų veiklų dienos, miesto pradinių klasių mokinių tiriamųjų darbų konferencija „Atverk duris į pasaulį“, vykdytos pažintinės ir patyriminės veiklos netradicinėse ugdymo aplinkose, įgyvendinti miesto, respublikiniai ir tarptautiniai projektai.</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Ypatingas dėmesys skirtas mokinių skaitmeninių kompetencijų ugdymui. Ugdymo procese aktyviai naudotos virtualios mokymosi aplinkos „Eduka“, „LearnLab“, „Eduten“, „ePamokos“, „Išmaniosios klasės“ galimybės ir įvairūs interaktyvūs skaitmeniniai įrankiai. Mokytojai aktyviai dalijosi gerąja darbo patirtimi miesto, respublikos ir tarptautiniuose renginiuose.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Siekiant ugdyti mokinių dalykines ir bendrąsias kompetencijas, organizuotos pilietinės, kultūrinės, socialinės ir sveikatinimo veiklos, įgyvendintos prevencinės programos, Gerumo pamokos, pilietinės iniciatyvos bei įvairūs projektai. Nuosekliai stiprinta specialiųjų ugdymosi poreikių turinčių mokinių įtrauktis, sudarant jiems galimybes aktyviai dalyvauti ugdymo procese ir mokyklos bendruomenės gyvenime.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Mokytojai profesines kompetencijas tobulino seminaruose, metodinėse dienose, Erasmus+ projektų veiklose, kolegialaus mokymosi grupėse ir darbo stebėjimo vizituose užsienyje. Didžiausias dėmesys skirtas įtraukiajam ugdymui, diferencijavimui ir individualizavimui, gabių mokinių ugdymui bei tikslingam skaitmeninių priemonių taikymui. Pamokų stebėjimo metu analizuotas mokymo diferencijavimas, individualizavimas ir veiksmingas skaitmeninių įrankių naudojimas ugdymo procese. Mokytojų bendrosios kompetencijos taip pat stiprintos metodinėse veiklose, edukacinėse išvykose ir tradicinėje pedagoginėje tėvų konferencijoje „Augame kartu“.</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Atsižvelgiant į mokinių ugdymosi poreikius, ilgalaikėms konsultacijoms buvo skirta 46 valandos per savaitę. Mokiniams, nepadariusiems pažangos, pagal poreikį organizuotos trumpalaikės dalykų konsultacijos. Aštuoni mokiniai buvo mokomi namie. </w:t>
      </w:r>
      <w:r>
        <w:rPr>
          <w:rFonts w:ascii="Times New Roman" w:hAnsi="Times New Roman" w:eastAsia="SimSun" w:cs="Times New Roman"/>
          <w:sz w:val="24"/>
          <w:szCs w:val="24"/>
          <w:lang w:val="lt-LT"/>
        </w:rPr>
        <w:t>Švietimo pagalba teikta 54 specialiųjų ugdymosi poreikių turintiems mokiniams, 70 mokinių, turinčių kalbos ir komunikacijos sutrikimų, bei 21 socialiai remtinam mokiniui.</w:t>
      </w:r>
      <w:r>
        <w:rPr>
          <w:rFonts w:ascii="Times New Roman" w:hAnsi="Times New Roman" w:eastAsia="Times New Roman" w:cs="Times New Roman"/>
          <w:color w:val="000000"/>
          <w:sz w:val="24"/>
          <w:szCs w:val="24"/>
          <w:lang w:val="lt-LT"/>
        </w:rPr>
        <w:t xml:space="preserve"> 23 mokiniams buvo teikiama mokytojo padėjėjo pagalba. Per mokslo metus į Progimnaziją atvyko 35 lietuvių kalbos nemokantys užsieniečiai, kuriems organizuotas papildomas lietuvių kalbos mokymas</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 xml:space="preserve"> Iš viso 2025–2026 m. m. Progimnazijoje ugdyti 182 užsieniečiai (2024–2025 m. m. – 213).</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Tikslingas ugdymo plano prioritetų įgyvendinimas ir kompetencijomis grindžiamo vertinimo taikymas turėjo teigiamos įtakos mokinių mokymosi motyvacijai ir pasiekimams. Bendras Progimnazijos mokinių pažangumas siekė 100 proc., 5–8 klasių ugdymo kokybė – 42,5 proc. (2024–2025 m. m. – 41,8 proc.), o labai gerai besimokančių 1–4 klasių mokinių dalis padidėjo iki 36,2 proc. (2024–2025 m. m. – 20,7 proc.).</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2025–2026 m. m. Progimnazijos mokiniai aktyviai dalyvavo miesto, respublikos ir tarptautiniuose konkursuose, olimpiadose, projektuose bei sporto varžybose ir pasiekė reikšmingų rezultatų. Per mokslo metus mokiniai laimėjo 14 prizinių vietų dalykinėse olimpiadose, 15 prizinių vietų respublikiniuose konkursuose ir 36 prizines vietas miesto konkursuose. Aukštų rezultatų mokiniai pasiekė lietuvių, rusų ir anglų kalbų, matematikos, biologijos, fizikos, dorinio ugdymo, informatikos, dailės bei kitų mokomųjų dalykų konkursuose ir olimpiadose. Reikšmingais pasiekimais išsiskyrė mokinių teatras „Maska“. Tarptautiniame teatrų festivalyje Estijoje teatras pelnė Grand Prix apdovanojimą, Lietuvos vaikų ir jaunimo teatrų festivalio „Šimtakojis 2026“ regioniniame etape savo amžiaus grupėje iškovojo II vietą, o respublikiniame teatrų festivalyje „Vandens lašas – 2026“ buvo apdovanotas padėka. Sėkmingai pasirodė ir Progimnazijos sportininkai – Klaipėdos miesto Mero taurės sporto žaidynėse laimėtos prizinės vietos šachmatų, šaškių ir plaukimo varžybose. Mokinių pasiekimai rodo kryptingą </w:t>
      </w:r>
      <w:r>
        <w:rPr>
          <w:rFonts w:ascii="Times New Roman" w:hAnsi="Times New Roman" w:eastAsia="Times New Roman" w:cs="Times New Roman"/>
          <w:sz w:val="24"/>
          <w:szCs w:val="24"/>
          <w:lang w:val="lt-LT"/>
        </w:rPr>
        <w:t>gabių</w:t>
      </w:r>
      <w:r>
        <w:rPr>
          <w:rFonts w:ascii="Times New Roman" w:hAnsi="Times New Roman" w:eastAsia="Times New Roman" w:cs="Times New Roman"/>
          <w:color w:val="000000"/>
          <w:sz w:val="24"/>
          <w:szCs w:val="24"/>
          <w:lang w:val="lt-LT"/>
        </w:rPr>
        <w:t xml:space="preserve"> mokinių ugdymą, veiksmingą mokymosi pagalbos sistemą bei sėkmingą mokinių kompetencijų plėtojimą įvairiose ugdymo srityse.</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Nacionalinio mokinių pasiekimų patikrinimo (NMPP) rezultatų analizė parodė, kad mokiniai pasiekė geresnių rezultatų matematikos bei gimtosios (rusų) kalbos skaitymo srityse, pagerėjo ir 8 klasių mokinių lietuvių kalbos ir literatūros skaitymo rezultatai. Vis dėlto 4 klasių lietuvių kalbos ir literatūros skaitymo pasiekimai bei dalies mokinių matematikos rezultatai rodo, kad būtina ir toliau stiprinti skaitymo, teksto suvokimo, matematinio mąstymo ir problemų sprendimo gebėjimų ugdymą.</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Atsižvelgiant į NMPP rezultatų analizę, 2026–2027 m. m. ugdymo plane numatytos priemonės mokinių pasiekimams gerinti: matematikos mokymo diferencijavimas, tikslinių konsultacijų plėtra, sisteminga mokymosi pagalba mokiniams, nepasiekusiems slenkstinio pasiekimų lygio, skaitymo gebėjimų stiprinimas įvairių dalykų pamokose bei kryptingas mokytojų bendradarbiavimas analizuojant mokinių pažangą ir planuojant individualią pagalbą.</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Kiekvieno mokinio individuali pažanga buvo nuosekliai stebima vadovaujantis Progimnazijos mokinių individualios pažangos stebėjimo, fiksavimo, analizavimo, informavimo ir pagalbos mokiniui teikimo tvarkos aprašu. Mokinių pasiekimus dalykų mokytojai ir klasių vadovai reguliariai aptarė su mokiniais, jų tėvais (globėjais, rūpintojais), o direkcijos posėdžiuose buvo analizuojami mokymosi sunkumų patiriančių mokinių pasiekimai ir planuojamos švietimo pagalbos priemonės.</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Apibendrinus mokinių individualios pažangos rezultatus, nustatyta, kad mokantis lietuvių kalbos asmeninę pažangą pasiekė 83 proc. 1–4 klasių ir 85 proc. 5–8 klasių mokinių, tautinių mažumų rusų gimtosios kalbos ir literatūros – atitinkamai 84 ir 86 proc., anglų kalbos – 88 ir 82 proc., matematikos – 83 ir 77 proc. mokinių. Informacinių technologijų dalyke pažangą padarė 82 proc., biologijos – 85 proc., chemijos – 86 proc., geografijos – 85 proc., istorijos – 85 proc., fizikos – 59 proc. mokinių.</w:t>
      </w:r>
    </w:p>
    <w:p>
      <w:pPr>
        <w:pStyle w:val="9"/>
        <w:spacing w:beforeAutospacing="0" w:afterAutospacing="0" w:line="240" w:lineRule="auto"/>
        <w:ind w:firstLine="720" w:firstLineChars="300"/>
        <w:jc w:val="both"/>
        <w:rPr>
          <w:rFonts w:eastAsia="Times New Roman"/>
          <w:color w:val="000000"/>
          <w:lang w:val="lt-LT"/>
        </w:rPr>
      </w:pPr>
      <w:r>
        <w:rPr>
          <w:lang w:val="lt-LT"/>
        </w:rPr>
        <w:t>Atsižvelgiant į individualios pažangos analizės rezultatus, 2026–2027 m. m. bus stiprinama sisteminga mokinių individualios pažangos stebėsena ir tikslingas pagalbos planavimas.</w:t>
      </w:r>
    </w:p>
    <w:p>
      <w:pPr>
        <w:spacing w:after="0" w:line="240" w:lineRule="auto"/>
        <w:ind w:firstLine="72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8. 2025–2026 mokslo metų ugdymo plano įgyvendinimo analizė parodė, kad Progimnazijoje numatyti ugdymo tikslai ir uždaviniai buvo įgyvendinami nuosekliai ir kryptingai. Mokinių pasiekimų, NMPP rezultatų ir individualios pažangos analizė atskleidė teigiamus ugdymo kokybės pokyčius ir išryškino tobulintinas sritis – mokinių skaitymo, matematinio mąstymo ir savivaldaus mokymosi gebėjimų stiprinimą, individualios pažangos stebėsenos tobulinimą bei kryptingą mokymosi pagalbos teikimą. Atsižvelgdama į ugdymo plano įgyvendinimo rezultatus, Progimnazijos bendruomenė susitarė 2026–2027 mokslo metais užtikrinti kokybišką ugdymą, stiprinant kiekvieno mokinio įtrauktį, individualią pažangą, savivaldaus mokymosi gebėjimus ir mokytojų profesinį bendradarbiavimą, siekiant aukštesnių mokinių pasiekimų ir visapusiškos asmenybės ūgties.   </w:t>
      </w:r>
    </w:p>
    <w:p>
      <w:pPr>
        <w:spacing w:after="0" w:line="240" w:lineRule="auto"/>
        <w:ind w:firstLine="709"/>
        <w:jc w:val="both"/>
        <w:rPr>
          <w:rFonts w:ascii="Times New Roman" w:hAnsi="Times New Roman" w:eastAsia="Times New Roman" w:cs="Times New Roman"/>
          <w:color w:val="00B050"/>
          <w:sz w:val="24"/>
          <w:szCs w:val="24"/>
          <w:lang w:val="lt-LT"/>
        </w:rPr>
      </w:pPr>
    </w:p>
    <w:p>
      <w:pPr>
        <w:tabs>
          <w:tab w:val="left" w:pos="709"/>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PIRMASIS SKIRSNIS</w:t>
      </w:r>
    </w:p>
    <w:p>
      <w:pPr>
        <w:tabs>
          <w:tab w:val="left" w:pos="709"/>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PROCESO TRUKMĖ. MOKYMOSI FORMOS</w:t>
      </w:r>
    </w:p>
    <w:p>
      <w:pPr>
        <w:tabs>
          <w:tab w:val="left" w:pos="284"/>
          <w:tab w:val="left" w:pos="709"/>
          <w:tab w:val="left" w:pos="6720"/>
        </w:tabs>
        <w:spacing w:after="0" w:line="240" w:lineRule="auto"/>
        <w:rPr>
          <w:rFonts w:ascii="Times New Roman" w:hAnsi="Times New Roman" w:eastAsia="Times New Roman" w:cs="Times New Roman"/>
          <w:sz w:val="24"/>
          <w:szCs w:val="24"/>
          <w:lang w:val="lt-LT"/>
        </w:rPr>
      </w:pPr>
    </w:p>
    <w:p>
      <w:pPr>
        <w:tabs>
          <w:tab w:val="left" w:pos="993"/>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9.</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Mokslo metų pradžia – 2026 m. rugsėjo 1 d., pabaiga – 2027 m. rugpjūčio 31 d. Mokslo metus sudaro ugdymo procesas ir mokinių poilsiui skirtas laikas – atostogos. Ugdymo proceso pradžia – 2026 m. rugsėjo 1 d. Ugdymo proceso trukmė 1–4 klasėse – 175 ugdymo dienos, 5–8 klasėse – 180 ugdymo dienų.</w:t>
      </w:r>
    </w:p>
    <w:p>
      <w:pPr>
        <w:tabs>
          <w:tab w:val="left" w:pos="1134"/>
        </w:tabs>
        <w:spacing w:after="0" w:line="240" w:lineRule="auto"/>
        <w:ind w:firstLine="709"/>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10.</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Atostogos ugdymo procese:</w:t>
      </w:r>
    </w:p>
    <w:tbl>
      <w:tblPr>
        <w:tblStyle w:val="18"/>
        <w:tblW w:w="9629" w:type="dxa"/>
        <w:jc w:val="center"/>
        <w:tblInd w:w="0" w:type="dxa"/>
        <w:tblLayout w:type="fixed"/>
        <w:tblCellMar>
          <w:top w:w="0" w:type="dxa"/>
          <w:left w:w="108" w:type="dxa"/>
          <w:bottom w:w="0" w:type="dxa"/>
          <w:right w:w="108" w:type="dxa"/>
        </w:tblCellMar>
      </w:tblPr>
      <w:tblGrid>
        <w:gridCol w:w="3207"/>
        <w:gridCol w:w="3212"/>
        <w:gridCol w:w="3210"/>
      </w:tblGrid>
      <w:tr>
        <w:tblPrEx>
          <w:tblLayout w:type="fixed"/>
          <w:tblCellMar>
            <w:top w:w="0" w:type="dxa"/>
            <w:left w:w="108" w:type="dxa"/>
            <w:bottom w:w="0" w:type="dxa"/>
            <w:right w:w="108" w:type="dxa"/>
          </w:tblCellMar>
        </w:tblPrEx>
        <w:trPr>
          <w:trHeight w:val="246"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Atostogos</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Prasideda</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Baigiasi</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Rudens </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2026-11-02</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2026-11-08</w:t>
            </w:r>
          </w:p>
        </w:tc>
      </w:tr>
      <w:tr>
        <w:tblPrEx>
          <w:tblLayout w:type="fixed"/>
          <w:tblCellMar>
            <w:top w:w="0" w:type="dxa"/>
            <w:left w:w="108" w:type="dxa"/>
            <w:bottom w:w="0" w:type="dxa"/>
            <w:right w:w="108" w:type="dxa"/>
          </w:tblCellMar>
        </w:tblPrEx>
        <w:trPr>
          <w:trHeight w:val="254"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Žiemos (Kalėdų)</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2026-12-2</w:t>
            </w:r>
            <w:r>
              <w:rPr>
                <w:rFonts w:ascii="Times New Roman" w:hAnsi="Times New Roman" w:eastAsia="Times New Roman" w:cs="Times New Roman"/>
                <w:sz w:val="24"/>
                <w:szCs w:val="24"/>
                <w:lang w:val="lt-LT"/>
              </w:rPr>
              <w:t>1</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2027-01-03</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Žiemos </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2027-02-15</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2027-02-21</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Pavasario (Velykų)</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2027-03-22</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2027-03-2</w:t>
            </w:r>
            <w:r>
              <w:rPr>
                <w:rFonts w:ascii="Times New Roman" w:hAnsi="Times New Roman" w:eastAsia="Times New Roman" w:cs="Times New Roman"/>
                <w:sz w:val="24"/>
                <w:szCs w:val="24"/>
                <w:lang w:val="lt-LT"/>
              </w:rPr>
              <w:t>9</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Vasaros (1–4 kl.)</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2027-06-10</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2027-08-31</w:t>
            </w:r>
          </w:p>
        </w:tc>
      </w:tr>
      <w:tr>
        <w:tblPrEx>
          <w:tblLayout w:type="fixed"/>
          <w:tblCellMar>
            <w:top w:w="0" w:type="dxa"/>
            <w:left w:w="108" w:type="dxa"/>
            <w:bottom w:w="0" w:type="dxa"/>
            <w:right w:w="108" w:type="dxa"/>
          </w:tblCellMar>
        </w:tblPrEx>
        <w:trPr>
          <w:trHeight w:val="270" w:hRule="atLeast"/>
          <w:jc w:val="center"/>
        </w:trPr>
        <w:tc>
          <w:tcPr>
            <w:tcW w:w="32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Vasaros (5–8 kl.)</w:t>
            </w:r>
          </w:p>
        </w:tc>
        <w:tc>
          <w:tcPr>
            <w:tcW w:w="32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2027-06-17</w:t>
            </w:r>
          </w:p>
        </w:tc>
        <w:tc>
          <w:tcPr>
            <w:tcW w:w="32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tabs>
                <w:tab w:val="left" w:pos="709"/>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2027-08-31</w:t>
            </w:r>
          </w:p>
        </w:tc>
      </w:tr>
    </w:tbl>
    <w:p>
      <w:pPr>
        <w:tabs>
          <w:tab w:val="left" w:pos="1134"/>
        </w:tabs>
        <w:spacing w:after="0" w:line="240" w:lineRule="auto"/>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 </w:t>
      </w:r>
    </w:p>
    <w:p>
      <w:pPr>
        <w:tabs>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10.1. vasaros atostogų pradžia suderinta Progimnazijos tarybos 2026 m. rugpjūčio 21 d. protokoliniu nutarimu (protokolas Nr. 5).</w:t>
      </w:r>
    </w:p>
    <w:p>
      <w:pPr>
        <w:tabs>
          <w:tab w:val="left" w:pos="1134"/>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11.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 xml:space="preserve">Ugdymo procesas skirstomas pusmečiais: </w:t>
      </w:r>
    </w:p>
    <w:tbl>
      <w:tblPr>
        <w:tblStyle w:val="19"/>
        <w:tblW w:w="9629" w:type="dxa"/>
        <w:tblInd w:w="0" w:type="dxa"/>
        <w:tblLayout w:type="fixed"/>
        <w:tblCellMar>
          <w:top w:w="0" w:type="dxa"/>
          <w:left w:w="108" w:type="dxa"/>
          <w:bottom w:w="0" w:type="dxa"/>
          <w:right w:w="108" w:type="dxa"/>
        </w:tblCellMar>
      </w:tblPr>
      <w:tblGrid>
        <w:gridCol w:w="1265"/>
        <w:gridCol w:w="2413"/>
        <w:gridCol w:w="2413"/>
        <w:gridCol w:w="3538"/>
      </w:tblGrid>
      <w:tr>
        <w:tblPrEx>
          <w:tblLayout w:type="fixed"/>
          <w:tblCellMar>
            <w:top w:w="0" w:type="dxa"/>
            <w:left w:w="108" w:type="dxa"/>
            <w:bottom w:w="0" w:type="dxa"/>
            <w:right w:w="108" w:type="dxa"/>
          </w:tblCellMar>
        </w:tblPrEx>
        <w:tc>
          <w:tcPr>
            <w:tcW w:w="1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Pusmetis</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Pradžia</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Pabaiga</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Klasės</w:t>
            </w:r>
          </w:p>
        </w:tc>
      </w:tr>
      <w:tr>
        <w:tblPrEx>
          <w:tblLayout w:type="fixed"/>
          <w:tblCellMar>
            <w:top w:w="0" w:type="dxa"/>
            <w:left w:w="108" w:type="dxa"/>
            <w:bottom w:w="0" w:type="dxa"/>
            <w:right w:w="108" w:type="dxa"/>
          </w:tblCellMar>
        </w:tblPrEx>
        <w:tc>
          <w:tcPr>
            <w:tcW w:w="1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I pusmetis</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2026-09-01</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2027-01-22</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r>
              <w:rPr>
                <w:rFonts w:ascii="Times New Roman" w:hAnsi="Times New Roman" w:eastAsia="Noto Sans Symbols" w:cs="Times New Roman"/>
                <w:color w:val="000000"/>
                <w:sz w:val="24"/>
                <w:szCs w:val="24"/>
                <w:lang w:val="lt-LT"/>
              </w:rPr>
              <w:t xml:space="preserve">−8 </w:t>
            </w:r>
          </w:p>
        </w:tc>
      </w:tr>
      <w:tr>
        <w:tblPrEx>
          <w:tblLayout w:type="fixed"/>
          <w:tblCellMar>
            <w:top w:w="0" w:type="dxa"/>
            <w:left w:w="108" w:type="dxa"/>
            <w:bottom w:w="0" w:type="dxa"/>
            <w:right w:w="108" w:type="dxa"/>
          </w:tblCellMar>
        </w:tblPrEx>
        <w:tc>
          <w:tcPr>
            <w:tcW w:w="126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II pusmetis</w:t>
            </w:r>
          </w:p>
        </w:tc>
        <w:tc>
          <w:tcPr>
            <w:tcW w:w="2413"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2027-01-25</w:t>
            </w: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2027-06-09</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r>
              <w:rPr>
                <w:rFonts w:ascii="Times New Roman" w:hAnsi="Times New Roman" w:eastAsia="Noto Sans Symbols" w:cs="Times New Roman"/>
                <w:color w:val="000000"/>
                <w:sz w:val="24"/>
                <w:szCs w:val="24"/>
                <w:lang w:val="lt-LT"/>
              </w:rPr>
              <w:t>−</w:t>
            </w:r>
            <w:r>
              <w:rPr>
                <w:rFonts w:ascii="Times New Roman" w:hAnsi="Times New Roman" w:eastAsia="Times New Roman" w:cs="Times New Roman"/>
                <w:color w:val="000000"/>
                <w:sz w:val="24"/>
                <w:szCs w:val="24"/>
                <w:lang w:val="lt-LT"/>
              </w:rPr>
              <w:t xml:space="preserve">4 </w:t>
            </w:r>
          </w:p>
        </w:tc>
      </w:tr>
      <w:tr>
        <w:tblPrEx>
          <w:tblLayout w:type="fixed"/>
          <w:tblCellMar>
            <w:top w:w="0" w:type="dxa"/>
            <w:left w:w="108" w:type="dxa"/>
            <w:bottom w:w="0" w:type="dxa"/>
            <w:right w:w="108" w:type="dxa"/>
          </w:tblCellMar>
        </w:tblPrEx>
        <w:tc>
          <w:tcPr>
            <w:tcW w:w="1265"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413"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4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2027-06-16</w:t>
            </w:r>
          </w:p>
        </w:tc>
        <w:tc>
          <w:tcPr>
            <w:tcW w:w="353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134"/>
              </w:tabs>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w:t>
            </w:r>
            <w:r>
              <w:rPr>
                <w:rFonts w:ascii="Times New Roman" w:hAnsi="Times New Roman" w:eastAsia="Noto Sans Symbols" w:cs="Times New Roman"/>
                <w:color w:val="000000"/>
                <w:sz w:val="24"/>
                <w:szCs w:val="24"/>
                <w:lang w:val="lt-LT"/>
              </w:rPr>
              <w:t>−</w:t>
            </w:r>
            <w:r>
              <w:rPr>
                <w:rFonts w:ascii="Times New Roman" w:hAnsi="Times New Roman" w:eastAsia="Times New Roman" w:cs="Times New Roman"/>
                <w:color w:val="000000"/>
                <w:sz w:val="24"/>
                <w:szCs w:val="24"/>
                <w:lang w:val="lt-LT"/>
              </w:rPr>
              <w:t xml:space="preserve">8 </w:t>
            </w:r>
          </w:p>
        </w:tc>
      </w:tr>
    </w:tbl>
    <w:p>
      <w:pPr>
        <w:tabs>
          <w:tab w:val="left" w:pos="0"/>
          <w:tab w:val="left" w:pos="709"/>
        </w:tabs>
        <w:spacing w:after="0" w:line="240" w:lineRule="auto"/>
        <w:rPr>
          <w:rFonts w:ascii="Times New Roman" w:hAnsi="Times New Roman" w:eastAsia="Times New Roman" w:cs="Times New Roman"/>
          <w:color w:val="00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12.</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Progimnazija yra įtraukta į Daugiakalbėje aplinkoje esančių mokyklų sąrašą, patvirtintą Lietuvos Respublikos švietimo ir mokslo ministro 2017 m. liepos 28 d. įsakymu Nr. V-623 „Dėl Daugiakalbėje aplinkoje esančių mokyklų sąrašo patvirtinimo“. Progimnazijoje ugdymas vykdomas lietuvių ir rusų tautinės mažumos gimtąja kalba. Ugdymo procesas organizuojamas vadovaujantis Lietuvos Respublikos švietimo įstatymo 30 straipsnio 2 dalimi, Bendraisiais ugdymo planais ir kitais bendrąjį ugdymą reglamentuojančiais teisės aktais. Atsižvelgiant į daugiakalbę ir daugiakultūrę Progimnazijos aplinką, ypatingas dėmesys skiriamas mokinių lietuvių kalbos ir literatūros gebėjimams stiprinti. Ugdymo procese taikomas dvikalbis mokymo(si) būdas – lietuvių kalba ir literatūra integruojama į dalykų ugdymo turinį, neformaliojo vaikų švietimo veiklas, kultūrinius, socialinius-pilietinius projektus ir kitas Progimnazijos veiklas.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 Mokymosi formos: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13.1. </w:t>
      </w:r>
      <w:r>
        <w:rPr>
          <w:rFonts w:ascii="Times New Roman" w:hAnsi="Times New Roman" w:eastAsia="Times New Roman" w:cs="Times New Roman"/>
          <w:color w:val="000000"/>
          <w:sz w:val="24"/>
          <w:szCs w:val="24"/>
          <w:lang w:val="lt-LT"/>
        </w:rPr>
        <w:t>grupinio mokymosi forma įgyvendinama šiais mokymo proceso organizavimo būdais:</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13.1.1. kasdieniu – mokiniai reguliariai, pagal Progimnazijos direktoriaus patvirtintą pamokų tvarkaraštį, lanko Progimnaziją ir mokosi mokytojų vadovaujami;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13.1.2. nuotoliniu – dalį ugdymo proceso mokiniai, besimokantys pagal pagrindinio ugdymo programą, naudodami informacines ir komunikacines technologijas, mokosi grupinio mokymosi forma nuotoliniu mokymo proceso organizavimo būdu;</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13.2. pavienio mokymosi forma įgyvendinama individualiu, savarankišku ir (ar) nuotoliniu mokymo proceso organizavimo būdu teisės aktų nustatytais atvejais. Pavienio mokymosi forma gali būti įgyvendinama, kai: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13.2.1. </w:t>
      </w:r>
      <w:r>
        <w:rPr>
          <w:rFonts w:ascii="Times New Roman" w:hAnsi="Times New Roman" w:eastAsia="Times New Roman" w:cs="Times New Roman"/>
          <w:color w:val="000000"/>
          <w:sz w:val="24"/>
          <w:szCs w:val="24"/>
          <w:lang w:val="lt-LT"/>
        </w:rPr>
        <w:t xml:space="preserve">mokiniui dėl ligos ar patologinės būklės gydytojų konsultacinė komisija skiria mokymą namie;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13.2.2. mokiniui, turinčiam specialiųjų ugdymosi poreikių, pedagoginė psichologinė tarnyba rekomenduoja nuotolinio ugdymo proceso organizavimo būdą (ne ilgiau kaip vienerius mokslo metus); </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13.2.3. mokinys su tėvais (globėjais, rūpintojais) dėl svarbių priežasčių laikinai (ne ilgiau kaip 1 mėnesį) išvyksta į užsienį. </w:t>
      </w:r>
    </w:p>
    <w:p>
      <w:pPr>
        <w:tabs>
          <w:tab w:val="left" w:pos="709"/>
          <w:tab w:val="left" w:pos="99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14. Pagrindinė ugdymo proceso organizavimo forma – pamoka. Pamokos trukmė 1 klasėje – 35 min., 2–8 klasėse – 45 min.</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15. Pamokų ir pertraukų laikas: </w:t>
      </w:r>
    </w:p>
    <w:tbl>
      <w:tblPr>
        <w:tblStyle w:val="20"/>
        <w:tblW w:w="9629" w:type="dxa"/>
        <w:jc w:val="center"/>
        <w:tblInd w:w="0" w:type="dxa"/>
        <w:tblLayout w:type="fixed"/>
        <w:tblCellMar>
          <w:top w:w="0" w:type="dxa"/>
          <w:left w:w="108" w:type="dxa"/>
          <w:bottom w:w="0" w:type="dxa"/>
          <w:right w:w="108" w:type="dxa"/>
        </w:tblCellMar>
      </w:tblPr>
      <w:tblGrid>
        <w:gridCol w:w="994"/>
        <w:gridCol w:w="1989"/>
        <w:gridCol w:w="2255"/>
        <w:gridCol w:w="2111"/>
        <w:gridCol w:w="2280"/>
      </w:tblGrid>
      <w:tr>
        <w:tblPrEx>
          <w:tblLayout w:type="fixed"/>
          <w:tblCellMar>
            <w:top w:w="0" w:type="dxa"/>
            <w:left w:w="108" w:type="dxa"/>
            <w:bottom w:w="0" w:type="dxa"/>
            <w:right w:w="108" w:type="dxa"/>
          </w:tblCellMar>
        </w:tblPrEx>
        <w:trPr>
          <w:tblHeader/>
          <w:jc w:val="center"/>
        </w:trPr>
        <w:tc>
          <w:tcPr>
            <w:tcW w:w="99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Pamoka</w:t>
            </w:r>
          </w:p>
        </w:tc>
        <w:tc>
          <w:tcPr>
            <w:tcW w:w="424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klasės</w:t>
            </w:r>
          </w:p>
        </w:tc>
        <w:tc>
          <w:tcPr>
            <w:tcW w:w="4391"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w:t>
            </w:r>
            <w:r>
              <w:rPr>
                <w:rFonts w:ascii="Times New Roman" w:hAnsi="Times New Roman" w:eastAsia="Noto Sans Symbols" w:cs="Times New Roman"/>
                <w:sz w:val="24"/>
                <w:szCs w:val="24"/>
                <w:lang w:val="lt-LT"/>
              </w:rPr>
              <w:t>−</w:t>
            </w:r>
            <w:r>
              <w:rPr>
                <w:rFonts w:ascii="Times New Roman" w:hAnsi="Times New Roman" w:eastAsia="Times New Roman" w:cs="Times New Roman"/>
                <w:sz w:val="24"/>
                <w:szCs w:val="24"/>
                <w:lang w:val="lt-LT"/>
              </w:rPr>
              <w:t>8 klasės</w:t>
            </w:r>
          </w:p>
        </w:tc>
      </w:tr>
      <w:tr>
        <w:tblPrEx>
          <w:tblLayout w:type="fixed"/>
          <w:tblCellMar>
            <w:top w:w="0" w:type="dxa"/>
            <w:left w:w="108" w:type="dxa"/>
            <w:bottom w:w="0" w:type="dxa"/>
            <w:right w:w="108" w:type="dxa"/>
          </w:tblCellMar>
        </w:tblPrEx>
        <w:trPr>
          <w:tblHeader/>
          <w:jc w:val="center"/>
        </w:trPr>
        <w:tc>
          <w:tcPr>
            <w:tcW w:w="994"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sz w:val="24"/>
                <w:szCs w:val="24"/>
                <w:lang w:val="lt-LT"/>
              </w:rPr>
            </w:pP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Laikas</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Pertraukos trukmė</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Laikas</w:t>
            </w:r>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Pertraukos trukmė</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08.45–09.20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0"/>
                <w:id w:val="1113852314"/>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08.30−09.15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09.30–10.05</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1"/>
                <w:id w:val="-1894994078"/>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09.25−10.10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10.25–11.00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25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2"/>
                <w:id w:val="971917114"/>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10.20−11.05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11.25–12.00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3"/>
                <w:id w:val="-54928166"/>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11.20−12.05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12.15–12.50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4"/>
                <w:id w:val="1775213862"/>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12.25−13.10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20 min. </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13.05–13.40</w:t>
            </w: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5"/>
                <w:id w:val="-197033913"/>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13.30−14.15</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 min.</w:t>
            </w:r>
          </w:p>
        </w:tc>
      </w:tr>
      <w:tr>
        <w:tblPrEx>
          <w:tblLayout w:type="fixed"/>
          <w:tblCellMar>
            <w:top w:w="0" w:type="dxa"/>
            <w:left w:w="108" w:type="dxa"/>
            <w:bottom w:w="0" w:type="dxa"/>
            <w:right w:w="108" w:type="dxa"/>
          </w:tblCellMar>
        </w:tblPrEx>
        <w:trPr>
          <w:jc w:val="center"/>
        </w:trPr>
        <w:tc>
          <w:tcPr>
            <w:tcW w:w="9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w:t>
            </w:r>
          </w:p>
        </w:tc>
        <w:tc>
          <w:tcPr>
            <w:tcW w:w="19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vertAlign w:val="superscript"/>
                <w:lang w:val="lt-LT"/>
              </w:rPr>
            </w:pPr>
          </w:p>
        </w:tc>
        <w:tc>
          <w:tcPr>
            <w:tcW w:w="2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720"/>
              </w:tabs>
              <w:spacing w:after="0" w:line="240" w:lineRule="auto"/>
              <w:jc w:val="center"/>
              <w:rPr>
                <w:rFonts w:ascii="Times New Roman" w:hAnsi="Times New Roman" w:eastAsia="Times New Roman" w:cs="Times New Roman"/>
                <w:sz w:val="24"/>
                <w:szCs w:val="24"/>
                <w:vertAlign w:val="superscript"/>
                <w:lang w:val="lt-LT"/>
              </w:rPr>
            </w:pPr>
          </w:p>
        </w:tc>
        <w:tc>
          <w:tcPr>
            <w:tcW w:w="21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sdt>
              <w:sdtPr>
                <w:rPr>
                  <w:rFonts w:ascii="Times New Roman" w:hAnsi="Times New Roman" w:cs="Times New Roman"/>
                  <w:sz w:val="24"/>
                  <w:szCs w:val="24"/>
                  <w:lang w:val="lt-LT"/>
                </w:rPr>
                <w:tag w:val="goog_rdk_6"/>
                <w:id w:val="1305635159"/>
              </w:sdtPr>
              <w:sdtEndPr>
                <w:rPr>
                  <w:rFonts w:ascii="Times New Roman" w:hAnsi="Times New Roman" w:cs="Times New Roman"/>
                  <w:sz w:val="24"/>
                  <w:szCs w:val="24"/>
                  <w:lang w:val="lt-LT"/>
                </w:rPr>
              </w:sdtEndPr>
              <w:sdtContent>
                <w:r>
                  <w:rPr>
                    <w:rFonts w:ascii="Times New Roman" w:hAnsi="Times New Roman" w:eastAsia="Gungsuh" w:cs="Times New Roman"/>
                    <w:sz w:val="24"/>
                    <w:szCs w:val="24"/>
                    <w:lang w:val="lt-LT"/>
                  </w:rPr>
                  <w:t>14.25−15.10</w:t>
                </w:r>
              </w:sdtContent>
            </w:sdt>
          </w:p>
        </w:tc>
        <w:tc>
          <w:tcPr>
            <w:tcW w:w="22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6720"/>
              </w:tabs>
              <w:spacing w:after="0" w:line="240" w:lineRule="auto"/>
              <w:jc w:val="center"/>
              <w:rPr>
                <w:rFonts w:ascii="Times New Roman" w:hAnsi="Times New Roman" w:eastAsia="Times New Roman" w:cs="Times New Roman"/>
                <w:sz w:val="24"/>
                <w:szCs w:val="24"/>
                <w:lang w:val="lt-LT"/>
              </w:rPr>
            </w:pPr>
          </w:p>
        </w:tc>
      </w:tr>
    </w:tbl>
    <w:p>
      <w:pPr>
        <w:spacing w:after="0" w:line="240" w:lineRule="auto"/>
        <w:ind w:firstLine="709"/>
        <w:jc w:val="both"/>
        <w:rPr>
          <w:rFonts w:ascii="Times New Roman" w:hAnsi="Times New Roman" w:eastAsia="Times New Roman" w:cs="Times New Roman"/>
          <w:sz w:val="24"/>
          <w:szCs w:val="24"/>
          <w:lang w:val="lt-LT"/>
        </w:rPr>
      </w:pP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15.1. suderinus su mokinių tėvais (globėjais, rūpintojais), atskirose klasėse pertrauka po penktos pamokos, jei mokiniai nepietauja Progimnazijoje, gali būti trumpinama.</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16.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Ugdymo procesas, atsižvelgiant į siekiamus tikslus, organizuojamas ne tik pamokų, bet ir kitomis ugdymo organizavimo formomis (pvz., integruotos veiklos, projektai, kūrybinės dirbtuvės, ekskursijos, patyriminės veiklos). Jos gali vykti Progimnazijoje ir už jos ribų – muziejuose, atviros prieigos centruose, bibliotekose ir kitose edukacinėse erdvėse, taip pat dalyvaujant Kultūros paso edukaciniuose renginiuose:</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16.1. ugdomosios veiklos datą, formą ir turinį planuoja jos organizatoriai – dalykų mokytojai, klasių vadovai, neformaliojo vaikų švietimo mokytojai. Dalykų mokytojai ugdymą kitose aplinkose numato ilgalaikiuose planuose;</w:t>
      </w:r>
    </w:p>
    <w:p>
      <w:pPr>
        <w:tabs>
          <w:tab w:val="left" w:pos="993"/>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16.2. integruotos ugdomosios veiklos, vykdomos keičiant ugdymo aplinką, organizatoriai parengia mokinių ugdymo veiklų ir jų pasiekimų vertinimo planą pagal Metodinės tarybos parengtą formą ir rekomendacijas. Planas ne vėliau kaip prieš 3 dienas iki veiklos pradžios derinamas su kuruojančiu direktoriaus pavaduotoju ugdymui.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 Ugdymo procesas gali būti organizuojamas ne tik pamokų, bet ir kitomis ugdymo organizavimo formomis. Ugdymo veiklos, kuriomis įgyvendinamos Bendrųjų programų nuostatos, įskaitomos į atitinkamų dalykų ugdymo laiką, užtikrinant Bendruosiuose ugdymo planuose nustatytą ugdymo proceso trukmę ir minimalų dalykų programoms įgyvendinti skirtų pamokų skaičių:</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17.1. ugdymo procesas ne pamokų forma, trunkantis ilgiau nei numatyta pagal tvarkaraštį, organizuojamas kitose aplinkose, išvykose, ekskursijose, perskaičiuojamas į atitinkamų dalykų pamokas tiek, kiek jos realiai truko (pvz., ugdymo procesas, pažintinėje veikloje trukęs 4 astronomines val., perskaičiuojamas į 6 atitinkamų dalykų pamokas, 7 astronomines val. – į 9 atitinkamų dalykų pamokas, 8 astronomines val. – į 11 atitinkamų dalykų pamokų ir t. t.);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17.2. klasės mokinių atliekami vieno dalyko ar integruotų dalykų projektiniai darbai laisvu nuo pamokų metu ir jų pristatymai ne pamokų metu perskaičiuojami į atitinkamų dalykų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17.3. Progimnazijos teatrinės veiklos renginiai (spektaklių pristatymai, aptarimai) įskaitomi įrašant į dienyną, kaip rusų tautinės mažumos gimtosios kalbos ir literatūros ar muzikos (pradinėse klasėse </w:t>
      </w:r>
      <w:r>
        <w:rPr>
          <w:rFonts w:ascii="Times New Roman" w:hAnsi="Times New Roman" w:eastAsia="Times New Roman" w:cs="Times New Roman"/>
          <w:color w:val="000000"/>
          <w:sz w:val="24"/>
          <w:szCs w:val="24"/>
          <w:lang w:val="lt-LT"/>
        </w:rPr>
        <w:t>–</w:t>
      </w:r>
      <w:r>
        <w:rPr>
          <w:rFonts w:ascii="Times New Roman" w:hAnsi="Times New Roman" w:eastAsia="Times New Roman" w:cs="Times New Roman"/>
          <w:sz w:val="24"/>
          <w:szCs w:val="24"/>
          <w:lang w:val="lt-LT"/>
        </w:rPr>
        <w:t xml:space="preserve"> teatro) pamokos;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17.4. ne</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pamokų metu mokinių sporto šventėms, varžyboms skirtas laikas perskaičiuojamas į fizinio  ugdymo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17.5. kultūros paso, „Mokausi iš kino“ ar kitos edukacinės veiklos, padedančios įgyvendinti Bendrųjų programų nuostatas, perskaičiuojamos į atitinkamų dalykų pamokas;</w:t>
      </w:r>
    </w:p>
    <w:p>
      <w:pPr>
        <w:tabs>
          <w:tab w:val="left" w:pos="709"/>
        </w:tabs>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17.6. klasės mokinių išvyka į teatrą (spektaklio stebėjimas), muziejų ar kita su mokymosi turiniu susijusi veikla, organizuojama ne Progimnazijoje laisvomis nuo ugdymo dienomis ar pasibaigus dienos ugdymo procesui, perskaičiuojama į atitinkamų dalykų pamokas.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222222"/>
          <w:sz w:val="24"/>
          <w:szCs w:val="24"/>
          <w:highlight w:val="white"/>
          <w:lang w:val="lt-LT"/>
        </w:rPr>
        <w:t>18. Mokyklos vadovo įsakymu mokiniams laisvomis nuo ugdymo dienomis organizuojamos ekskursijos, išvykos ar kitos ugdomosios veiklos įskaitomos į mokinio ugdymo dienų skaičių, nustatytą mokslo metams. Už laisvą nuo ugdymo dieną vykdytą ugdymo procesą mokiniams gali būti skiriama kita laisva ugdymo diena, užtikrinant Bendruosiuose ugdymo planuose nustatytą ugdymo proceso trukmę.</w:t>
      </w:r>
    </w:p>
    <w:p>
      <w:pPr>
        <w:tabs>
          <w:tab w:val="left" w:pos="993"/>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19.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Karantino, ekstremalios situacijos, ekstremalaus įvykio ar įvykio (ekstremali temperatūra, gaisras, oro pavojus, potvynis, pūga ir kt.), keliančio pavojų mokinių sveikatai ir gyvybei laikotarpiu (toliau – ypatingos aplinkybės) ar esant aplinkybėms Progimnazijoje, dėl kurių ugdymo procesas negali būti organizuojamas kasdieniu mokymo proceso būdu (Progimnazija yra dalykų brandos egzaminų centras, vyksta remonto darbai ir kt.), ugdymo procesas gali būti koreguojamas arba laikinai stabdomas, arba organizuojamas nuotoliniu mokymo proceso organizavimo būdu (toliau – nuotolinis mokymo būdas).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 Ekstremali temperatūra Progimnazijos ir (ar) mokinio gyvenamojoje teritorijoje:</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20.1. minus 20 °C ar žemesnė – 1–4 ir 5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 minus 25 °C ar žemesnė – 6–8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20.3. 30 °C ar aukštesnė – 5–8 klasių mokiniams.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 Progimnazijos direktorius, nesant valstybės, savivaldybės lygio sprendimų dėl ugdymo proceso organizavimo esant ypatingoms aplinkybėms arba esant aplinkybėms Progimnazijoje, dėl kurių ugdymo procesas negali būti organizuojamas kasdieniu mokymo proceso būdu, gali priimti ugdymo organizavimo sprendimus: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21.1. mažinančius ir šalinančius pavojų mokinių sveikatai ir gyvybei;</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21.2. laikinai stabdyti ugdymo procesą, kai dėl susidariusių aplinkybių Progimnazijos aplinkoje nėra galimybės ugdymo proceso koreguoti ar tęsti nei grupinio mokymosi forma kasdieniu mokymo proceso organizavimo būdu, nei nuotoliniu mokymo proceso organizavimo būdu. Pavyzdžiui, sutrikus elektros energijos tiekimui ar susidarius kitoms panašioms aplinkybėms, ugdymo procesas Progimnazijos direktoriaus sprendimu gali būti laikinai stabdomas 1–2 darbo dienas. Jeigu ugdymo procesas turi būti stabdomas ilgesnį laiką, Progimnazijos direktorius sprendimą dėl ugdymo proceso stabdymo derina su Klaipėdos miesto savivaldybės administracija;</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21.3. atsižvelgdamas į oro prognozes šiltuoju metų laikotarpiu ir pakilus patalpų temperatūrai, koreguoti ugdymo procesą: trumpinti pamokas, intensyvinti ugdymo procesą dienomis, kuriomis oro temperatūra yra žemesnė;</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21.4. ugdymo procesą ar jo dalį organizuoti nuotoliniu mokymo būdu, kai nėra galimybės tęsti ugdymo proceso ar jo dalies grupinio mokymosi forma kasdieniu mokymo proceso organizavimo būdu. Progimnazijos direktorius sprendimą ugdymo procesą ar jo dalį organizuoti nuotoliniu mokymo būdu priima 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 Valstybės, savivaldybės lygiu ar Progimnazijos direktoriaus sprendimu ugdymo procesą ar jo dalį organizuojant nuotoliniu mokymo būdu, Progimnazija: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22.1. priima sprendimus ugdymo procesui nuotoliniu būdu organizuoti, atsižvelgdama į Progimnazijos ugdymo plane numatytus sprendimus nuotoliniam mokymo procesui organizuoti, Bendrųjų ugdymo planų nuostatas;</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22.2.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22.3. įvertina, ar visi mokiniai gali dalyvauti ugdymo procese nuotoliniu mokymo būdu. Išsiaiškinus, kad mokinio namuose nėra sąlygų mokytis, sudaromos sąlygos mokytis Progimnazijoje, jeigu Progimnazijoje nėra aplinkybių, kurios keltų pavojų mokinio gyvybei</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ir sveikatai. Nesant galimybių ugdymo proceso organizuoti Progimnazijoje, ugdymo proceso organizavimą laikinai perkelia į kitas saugias patalpas;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22.4. numato mokinių emocinės sveikatos stebėjimo, taip pat mokinių, turinčių specialiųjų ugdymosi poreikių, ugdymo specifikos ir švietimo pagalbos teikimo būdus;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22.5. įgyvendindama ugdymo programas, ne mažiau kaip 50 procentų ugdymo procesui numatyto laiko (per savaitę ir (ar) mėnesį) skiria sinchroniniam ugdymui ir ne daugiau kaip 50 procentų – asinchroniniam ugdymui. Nepertraukiamo sinchroninio ugdymo trukmė – iki 90 min.;</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22.6. pertvarko pamokų tvarkaraštį, pritaikydama jį ugdymo procesą organizuoti nuotoliniu mokymo būdu: konkrečios klasės tvarkaraštyje numato sinchroniniam ir asinchroniniam ugdymui skirtas pamokas;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22.7. pritaiko pamokos struktūrą sinchroniniam ir asinchroniniam ugdymui, atsižvelgdama į mokinių amžių, dalyko programos ir ugdymo programos ypatumus;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22.9. numato mokinių ir jų tėvų (globėjų, rūpintojų) informavimo būdus;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22.10. paskiria asmenį(-is), atsakingus už bendrosios informacijos apie ugdymo proceso organizavimo tvarką, švietimo pagalbos teikimą ir kitus švietimo bendruomenei aktualius klausimus teikimą;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22.11. numato planą, kaip, pasibaigus ypatingoms aplinkybėms, sklandžiai grįžti prie įprasto ugdymo proceso organizavimo;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22.12. numato, kaip prireikus dalį ugdymo proceso organizuoti nuotoliniu mokymo organizavimo būdu, o kitą dalį – grupinio mokymosi forma kasdieniu mokymo proceso organizavimo būdu; </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22.13. numato, kaip atskirų dalykų (arba dalyko dalies) mokymuisi gali perskirstyti klases ir sudaryti laikinąsias grupes iš paralelių klasių mokinių arba sujungdama ne daugiau nei dviejų gretimų klasių mokinius.</w:t>
      </w:r>
    </w:p>
    <w:p>
      <w:pPr>
        <w:tabs>
          <w:tab w:val="left" w:pos="1134"/>
        </w:tabs>
        <w:spacing w:after="0" w:line="240" w:lineRule="auto"/>
        <w:ind w:firstLine="709"/>
        <w:jc w:val="both"/>
        <w:rPr>
          <w:rFonts w:ascii="Times New Roman" w:hAnsi="Times New Roman" w:eastAsia="Times New Roman" w:cs="Times New Roman"/>
          <w:sz w:val="24"/>
          <w:szCs w:val="24"/>
          <w:lang w:val="lt-LT"/>
        </w:rPr>
      </w:pPr>
    </w:p>
    <w:p>
      <w:pPr>
        <w:tabs>
          <w:tab w:val="left" w:pos="284"/>
        </w:tabs>
        <w:spacing w:after="0" w:line="240" w:lineRule="auto"/>
        <w:ind w:right="-82"/>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ANTRASIS SKIRSNIS</w:t>
      </w:r>
    </w:p>
    <w:p>
      <w:pPr>
        <w:tabs>
          <w:tab w:val="left" w:pos="0"/>
          <w:tab w:val="left" w:pos="284"/>
          <w:tab w:val="left" w:pos="1276"/>
        </w:tabs>
        <w:spacing w:after="0" w:line="240" w:lineRule="auto"/>
        <w:ind w:right="-82"/>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TURINIO PLANAVIMAS</w:t>
      </w:r>
    </w:p>
    <w:p>
      <w:pPr>
        <w:tabs>
          <w:tab w:val="left" w:pos="0"/>
          <w:tab w:val="left" w:pos="284"/>
          <w:tab w:val="left" w:pos="1276"/>
        </w:tabs>
        <w:spacing w:after="0" w:line="240" w:lineRule="auto"/>
        <w:ind w:right="-82"/>
        <w:jc w:val="both"/>
        <w:rPr>
          <w:rFonts w:ascii="Times New Roman" w:hAnsi="Times New Roman" w:eastAsia="Times New Roman" w:cs="Times New Roman"/>
          <w:color w:val="FF0000"/>
          <w:sz w:val="24"/>
          <w:szCs w:val="24"/>
          <w:lang w:val="lt-LT"/>
        </w:rPr>
      </w:pPr>
    </w:p>
    <w:p>
      <w:pPr>
        <w:numPr>
          <w:ilvl w:val="0"/>
          <w:numId w:val="2"/>
        </w:num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Planuodami ugdymo turinį, mokytojai užtikrina jo perimamumą ir nuoseklumą, siekdami išvengti mokinių mokymosi spragų dėl bendrųjų programų kaitos. Įvertinę dalyko mokymosi turinio pokyčius, mokytojai ugdymo procese kompensuoja trūkstamą mokymosi turinį.</w:t>
      </w:r>
    </w:p>
    <w:p>
      <w:pPr>
        <w:numPr>
          <w:ilvl w:val="0"/>
          <w:numId w:val="2"/>
        </w:num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Mokytojai, atsižvelgdami į ugdymo tikslus ir mokinių poreikius, planuoja kelių dalykų ugdymo turinio ar atskirų dalykų temų integravimą (pvz., organizuoja integruotas veiklas, integruotas pamokas, keičia ugdymo aplinką). Integraciniai ryšiai numatomi ilgalaikiuose planuose ir fiksuojami elektroniniame dienyne. Kai integruojamas kelių dalykų turinys ir pamokoje dirba keli mokytojai, integruojamų dalykų pamokų turinys fiksuojamas elektroninio dienyno atitinkamų dalykų apskaitai skirtuose puslapiuose.</w:t>
      </w:r>
    </w:p>
    <w:p>
      <w:pPr>
        <w:tabs>
          <w:tab w:val="left" w:pos="993"/>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25. Progimnazijos ugdymo turinys planuojamas atsižvelgiant į ugdymo proceso savaičių skaičių ir dalyko programai įgyvendinti skirtų pamokų skaičių, nurodytą Ugdymo plano lentelėse. Rengiant dalykų ilgalaikius planus, vadovaujamasi Progimnazijos ugdymo proceso organizavimo kalendoriumi (1 priedas). Dalykų ilgalaikiai planai rengiami visiems mokslo metams pagal bendrąsias programas. Ilgalaikius ir pamokų planus mokytojai rengia vadovaudamiesi Metodinės tarybos patvirtintomis rekomendacijomis (2023 m. gegužės 18 d. protokolas Nr. 3).</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26. Ugdymo turinio planavimo dokumentai:</w:t>
      </w:r>
    </w:p>
    <w:tbl>
      <w:tblPr>
        <w:tblStyle w:val="21"/>
        <w:tblW w:w="9629" w:type="dxa"/>
        <w:tblInd w:w="0" w:type="dxa"/>
        <w:tblLayout w:type="fixed"/>
        <w:tblCellMar>
          <w:top w:w="0" w:type="dxa"/>
          <w:left w:w="108" w:type="dxa"/>
          <w:bottom w:w="0" w:type="dxa"/>
          <w:right w:w="108" w:type="dxa"/>
        </w:tblCellMar>
      </w:tblPr>
      <w:tblGrid>
        <w:gridCol w:w="1933"/>
        <w:gridCol w:w="2202"/>
        <w:gridCol w:w="1765"/>
        <w:gridCol w:w="3729"/>
      </w:tblGrid>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Programos, planai</w:t>
            </w:r>
          </w:p>
        </w:tc>
        <w:tc>
          <w:tcPr>
            <w:tcW w:w="22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Rengia</w:t>
            </w:r>
          </w:p>
        </w:tc>
        <w:tc>
          <w:tcPr>
            <w:tcW w:w="176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Tvirtina / derina ir terminas</w:t>
            </w:r>
          </w:p>
        </w:tc>
        <w:tc>
          <w:tcPr>
            <w:tcW w:w="372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Norminis dokumentas, rekomendacijos, pagal kurias rengiama programa, planas</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ilgalaikiai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mokytojai</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ind w:right="-137"/>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Progimnazijos ilgalaikių planų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Integruotų dalykų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Dalykų mokytojai</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ind w:right="-137"/>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individualių programų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Neformaliojo švietimo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Neformaliojo švietimo programos teikėjas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neformaliojo švietimo programų rengimo tvarka</w:t>
            </w:r>
          </w:p>
        </w:tc>
      </w:tr>
      <w:tr>
        <w:tblPrEx>
          <w:tblLayout w:type="fixed"/>
          <w:tblCellMar>
            <w:top w:w="0" w:type="dxa"/>
            <w:left w:w="108" w:type="dxa"/>
            <w:bottom w:w="0" w:type="dxa"/>
            <w:right w:w="108" w:type="dxa"/>
          </w:tblCellMar>
        </w:tblPrEx>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Kryptingo meninio ugdymo (teatro)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Teatro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vadovas (iki rugsėjo 1 d.)</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Bendrieji reikalavimai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kryptingam meniniam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ugdymui, mokyklos </w:t>
            </w:r>
          </w:p>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kryptingo meninio ugdymo (teatro) programa</w:t>
            </w:r>
          </w:p>
        </w:tc>
      </w:tr>
      <w:tr>
        <w:tblPrEx>
          <w:tblLayout w:type="fixed"/>
          <w:tblCellMar>
            <w:top w:w="0" w:type="dxa"/>
            <w:left w:w="108" w:type="dxa"/>
            <w:bottom w:w="0" w:type="dxa"/>
            <w:right w:w="108" w:type="dxa"/>
          </w:tblCellMar>
        </w:tblPrEx>
        <w:trPr>
          <w:trHeight w:val="1266"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Mokinių, turinčių specialiųjų ugdymosi poreikių, individualizuotos programos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ar pradinių klasių mokytojas, bendradarbiaudamas su specialiuoju pedagogu</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rekomendacijos specialiųjų programų rengimui</w:t>
            </w:r>
          </w:p>
        </w:tc>
      </w:tr>
      <w:tr>
        <w:tblPrEx>
          <w:tblLayout w:type="fixed"/>
          <w:tblCellMar>
            <w:top w:w="0" w:type="dxa"/>
            <w:left w:w="108" w:type="dxa"/>
            <w:bottom w:w="0" w:type="dxa"/>
            <w:right w:w="108" w:type="dxa"/>
          </w:tblCellMar>
        </w:tblPrEx>
        <w:trPr>
          <w:trHeight w:val="1171"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Užsieniečių ir Lietuvos Respublikos piliečių, atvykusių ar grįžusių gyventi į Lietuvos Respubliką, individualūs ugdymo planai</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ar pradinių klasių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ind w:firstLine="5"/>
              <w:rPr>
                <w:rFonts w:ascii="Times New Roman" w:hAnsi="Times New Roman" w:eastAsia="Times New Roman" w:cs="Times New Roman"/>
                <w:b/>
                <w:bCs/>
                <w:sz w:val="24"/>
                <w:szCs w:val="24"/>
                <w:lang w:val="lt-LT"/>
              </w:rPr>
            </w:pPr>
            <w:r>
              <w:rPr>
                <w:rFonts w:ascii="Times New Roman" w:hAnsi="Times New Roman" w:eastAsia="Times New Roman" w:cs="Times New Roman"/>
                <w:color w:val="000000"/>
                <w:sz w:val="24"/>
                <w:szCs w:val="24"/>
                <w:lang w:val="lt-LT"/>
              </w:rPr>
              <w:t>Klaipėdos uostamiesčio progimnazijos mokinių, grįžusių ar atvykusių iš užsienio, priėmimo ir ugdymo organizavimo tvarkos aprašo 1</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2 priedai</w:t>
            </w:r>
          </w:p>
        </w:tc>
      </w:tr>
      <w:tr>
        <w:tblPrEx>
          <w:tblLayout w:type="fixed"/>
          <w:tblCellMar>
            <w:top w:w="0" w:type="dxa"/>
            <w:left w:w="108" w:type="dxa"/>
            <w:bottom w:w="0" w:type="dxa"/>
            <w:right w:w="108" w:type="dxa"/>
          </w:tblCellMar>
        </w:tblPrEx>
        <w:trPr>
          <w:trHeight w:val="274"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Mokinio individualaus ugdymo planas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 ir specialusis pedagogas, bendradarbiaudami su mokinį mokančiais mokytojais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direktorius</w:t>
            </w:r>
          </w:p>
        </w:tc>
      </w:tr>
      <w:tr>
        <w:tblPrEx>
          <w:tblLayout w:type="fixed"/>
          <w:tblCellMar>
            <w:top w:w="0" w:type="dxa"/>
            <w:left w:w="108" w:type="dxa"/>
            <w:bottom w:w="0" w:type="dxa"/>
            <w:right w:w="108" w:type="dxa"/>
          </w:tblCellMar>
        </w:tblPrEx>
        <w:trPr>
          <w:trHeight w:val="274" w:hRule="atLeast"/>
        </w:trPr>
        <w:tc>
          <w:tcPr>
            <w:tcW w:w="19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Integruotos veiklos, keičiant ugdymo aplinką, dienos planas</w:t>
            </w:r>
          </w:p>
        </w:tc>
        <w:tc>
          <w:tcPr>
            <w:tcW w:w="220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Klasės vadovas,</w:t>
            </w:r>
          </w:p>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dalyko mokytojas</w:t>
            </w:r>
          </w:p>
        </w:tc>
        <w:tc>
          <w:tcPr>
            <w:tcW w:w="17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Kuruojantis direktoriaus pavaduotojas ugdymui, ne vėliau kaip prieš 3 dienas iki integruotos veiklos</w:t>
            </w:r>
          </w:p>
        </w:tc>
        <w:tc>
          <w:tcPr>
            <w:tcW w:w="37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Pradinio ir pagrindinio ugdymo bendrosios programos, Progimnazijos integruotos veiklos plano rengimo rekomendacijos</w:t>
            </w:r>
          </w:p>
        </w:tc>
      </w:tr>
    </w:tbl>
    <w:p>
      <w:pPr>
        <w:tabs>
          <w:tab w:val="left" w:pos="720"/>
        </w:tabs>
        <w:spacing w:after="0" w:line="252" w:lineRule="auto"/>
        <w:jc w:val="both"/>
        <w:rPr>
          <w:rFonts w:ascii="Times New Roman" w:hAnsi="Times New Roman" w:eastAsia="Times New Roman" w:cs="Times New Roman"/>
          <w:color w:val="FF0000"/>
          <w:sz w:val="24"/>
          <w:szCs w:val="24"/>
          <w:lang w:val="lt-LT"/>
        </w:rPr>
      </w:pPr>
    </w:p>
    <w:p>
      <w:pPr>
        <w:numPr>
          <w:ilvl w:val="0"/>
          <w:numId w:val="3"/>
        </w:num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 Mokslo metų pradžioje dalykų mokytojai ir klasių vadovai supažindina mokinius ir jų tėvus (globėjus, rūpintojus) su dalykų mokymosi turiniu, mokinių pasiekimų vertinimo principais ir Progimnazijos mokinių, besimokančių pagal bendrojo ugdymo programas, lankomumo užtikrinimo tvarkos aprašu, patvirtintu Progimnazijos direktoriaus 2023 m. rugsėjo 1 d. įsakymu Nr. V1-93. Apie mokslo metais atsiradusius esminius mokymosi turinio ar vertinimo pokyčius mokiniai ir jų tėvai (globėjai, rūpintojai) informuojami papildomai.    </w:t>
      </w:r>
    </w:p>
    <w:p>
      <w:pPr>
        <w:spacing w:after="0" w:line="240" w:lineRule="auto"/>
        <w:jc w:val="both"/>
        <w:rPr>
          <w:rFonts w:ascii="Times New Roman" w:hAnsi="Times New Roman" w:eastAsia="Times New Roman" w:cs="Times New Roman"/>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TREČIASIS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UGDYMO VEIKLŲ ĮGYVENDINIMAS</w:t>
      </w:r>
    </w:p>
    <w:p>
      <w:pPr>
        <w:tabs>
          <w:tab w:val="left" w:pos="1276"/>
        </w:tabs>
        <w:spacing w:after="0" w:line="240" w:lineRule="auto"/>
        <w:jc w:val="center"/>
        <w:rPr>
          <w:rFonts w:ascii="Times New Roman" w:hAnsi="Times New Roman" w:eastAsia="Times New Roman" w:cs="Times New Roman"/>
          <w:sz w:val="24"/>
          <w:szCs w:val="24"/>
          <w:lang w:val="lt-LT"/>
        </w:rPr>
      </w:pP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 Įgyvendindama ugdymo turinį, Progimnazija vykdo sveikatos stiprinimo, prevencines, ugdymo karjerai, socialines-pilietines, etnokultūrines ir kitas veiklas, pasirinkdama tinkamus jų įgyvendinimo būdus: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 Gyvenimo įgūdžių bendroji programa įgyvendinama siekiant sudaryti galimybes kiekvienam mokiniui nuosekliai ugdytis gyvenimui svarbius socialinius ir emocinius įgūdžius, sveikos gyvensenos nuostatas, gebėjimą saugoti savo ir kitų sveikatą bei gyvybę, kurti pozityvius tarpusavio santykius ir atsakingai veikti bendruomenėje. Programa įgyvendinama: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28.1.1. 1–4 klasėse – integruojant gyvenimo įgūdžių temas į kitų dalykų ugdymo turinį;</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28.1.2. 5–8 klasėse – skiriant po 1 pamoką per savaitę;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28.1.3. organizuojant sveikos gyvensenos, sveikatos saugojimo ir stiprinimo veiklas bei renginius;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28.1.4. vykdant projektus, dalyvaujant miesto ir šalies konkursuose.</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28.2. mokinių sveikatos stiprinimo </w:t>
      </w:r>
      <w:r>
        <w:rPr>
          <w:rFonts w:ascii="Times New Roman" w:hAnsi="Times New Roman" w:eastAsia="Times New Roman" w:cs="Times New Roman"/>
          <w:color w:val="0C0C0C"/>
          <w:sz w:val="24"/>
          <w:szCs w:val="24"/>
          <w:lang w:val="lt-LT"/>
        </w:rPr>
        <w:t>veikla</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integruojama į visą Progimnazijos gyvenimą,</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color w:val="000000"/>
          <w:sz w:val="23"/>
          <w:szCs w:val="23"/>
          <w:lang w:val="lt-LT"/>
        </w:rPr>
        <w:t>į ją įtraukiant mokinius, mokytojus, tėvus (globėjus, rūpintojus), specialistus</w:t>
      </w:r>
      <w:r>
        <w:rPr>
          <w:rFonts w:ascii="Times New Roman" w:hAnsi="Times New Roman" w:eastAsia="Times New Roman" w:cs="Times New Roman"/>
          <w:color w:val="000000"/>
          <w:sz w:val="24"/>
          <w:szCs w:val="24"/>
          <w:lang w:val="lt-LT"/>
        </w:rPr>
        <w: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28.2.1. į klasių valandėles, pasitelkiant psichologą, visuomenės sveikatos specialistą;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28.2.2. Mokinių sveikatos stiprinimo veiklos integruojamos į visą Progimnazijos gyvenimą, į jas įtraukiant mokinius, mokytojus, tėvus (globėjus, rūpintojus) ir specialistus:</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28.2.3. vykdant Progimnazijos sveikatos priežiūros programą;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28.2.4. per kitas neformalias švietimo veiklas, organizuojant kryptingus sveikos gyvensenos, sveikatos saugojimo ir stiprinimo renginius;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28.2.5. vykdant trumpalaikius projektus, dalyvaujant miesto konkursuose;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 įgyvendinant „Aktyvios mokyklos“ veiklas, vykdomos kryptingos sveikos gyvensenos stiprinimo ir prevencinės programos bei veiklos: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28.2.6.1. įgyvendinamos kvėpavimo gimnastikos, judriųjų žaidimų, šachmatų neformaliojo švietimo sporto programos, organizuojamos įvairių sričių sporto varžybos, Progimnazijos komanda aktyviai dalyvauja miesto Mero taurės sporto varžybose;</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28.2.6.2. 2t klasėje į ugdymo procesą integruojama Sveikatą tausojančios pedagogikos programa, o kitose pradinėse klasėse – jos elementai. Kabinetuose naudojamos regėjimą stiprinančios priemonės, 322 kabinete įrengta gimnastikos sienelė, mokinių smulkiajai motorikai lavinti veikia keramikos studija;</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28.2.6.3. 2 klasėse vykdoma Klaipėdos miesto savivaldybės administracijos direktoriaus patvirtinta Plaukimo programa;</w:t>
      </w:r>
    </w:p>
    <w:p>
      <w:pPr>
        <w:spacing w:after="0" w:line="240" w:lineRule="auto"/>
        <w:ind w:firstLine="709"/>
        <w:contextualSpacing/>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eastAsia="zh-CN"/>
        </w:rPr>
        <w:t>28.2.6.4 vadovaujantis Smurto prevencijos įgyvendinimo mokyklose rekomendacijomis, patvirtintomis Lietuvos Respublikos švietimo ir mokslo ministro 2017 m. kovo 22 d. įsakymu Nr. V-190, Progimnazija dalyvauja tęstinėje „Olweus“ patyčių prevencijos programoje;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28.3. Etninės kultūros ugdymas 1–4 klasėse integruojamas į dalykų ugdymo turinį, o 5–8 klasėse įgyvendinamas vadovaujantis etninės kultūros ugdymą reglamentuojančiais teisės aktais. Etninės kultūros temos integruojamos į rusų tautinės mažumos gimtosios kalbos ir literatūros, lietuvių kalbos ir literatūros, istorijos, muzikos ir kitų dalykų ugdymo turinį, klasių valandėles, neformaliojo vaikų švietimo ir kitas veiklas.</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 Socialinė-pilietinė veikla Progimnazijoje organizuojama vadovaujantis Progimnazijos direktoriaus 2023 m. gruodžio 4 d. įsakymu Nr. V1-121 patvirtintu Klaipėdos uostamiesčio progimnazijos socialinės-pilietinės veiklos organizavimo tvarkos apraš</w:t>
      </w:r>
      <w:r>
        <w:rPr>
          <w:rFonts w:ascii="Times New Roman" w:hAnsi="Times New Roman" w:eastAsia="Times New Roman" w:cs="Times New Roman"/>
          <w:color w:val="0C0C0C"/>
          <w:sz w:val="24"/>
          <w:szCs w:val="24"/>
          <w:lang w:val="lt-LT"/>
        </w:rPr>
        <w:t>u:</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28.4.1. socialinės-pilietinės veiklos tikslas – skatinti mokinius aktyviai dalyvauti sprendžiant aktualias socialines problemas bendruomeniniame ir visuomeniniame gyvenime ir, reflektuojant savo patirtį, ugdytis pilietiškumo, socialinę, emocinę ir sveikos gyvensenos bei kitas kompetencijas;</w:t>
      </w:r>
    </w:p>
    <w:p>
      <w:pPr>
        <w:tabs>
          <w:tab w:val="left" w:pos="5670"/>
        </w:tabs>
        <w:spacing w:after="0"/>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28.4.2. Socialinei-pilietinei veiklai 5–8 klasėse skiriama po 20 valandų per mokslo metus. Ši veikla vykdoma laisvu nuo pamokų metu, o jai skirtas laikas neįskaičiuojamas į mokinio mokymosi krūvį;</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28.4.3. mokslo metų pradžioje klasių valandėlių metu mokiniai supažindinami su socialinės-pilietinės veiklos atlikimo reikalavimais ir atsiskaitymo tvarka. Mokiniai, padedami klasės vadovo, planuoja socialinę-pilietinę veiklą, atlieka numatytas užduotis, o jas baigę įsivertina įgytą patirtį ir fiksuoja veiklos įrodymus kompetencijų aplankuose;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28.4.4. už socialinės-pilietinės veiklos koordinavimą atsakingi klasių vadovai konsultuoja mokinius, stebi jų veiklos eigą ir prireikus teikia pagalbą. Ne rečiau kaip du kartus per mokslo metus su kiekvienu mokiniu organizuojami individualūs pokalbiai, kurių metu aptariama jo patirtis, veiklos prasmė, keliami tikslai ir pasiekti rezultatai. Klasių vadovai teikia grįžtamąjį ryšį mokiniams ir jų tėvams (globėjams, rūpintojams), socialinę-pilietinę veiklą fiksuoja elektroniniame dienyne. Pasibaigus ugdymo procesui, veikla įvertinama įrašu „įskaityta“ („įsk“) arba „neįskaityta“ („neįsk“), nurodant veiklai skirtų valandų skaičių. Mokiniui, negavusiam įskaityto įvertinimo, skiriama papildomo laiko išsikelti naujus ar patikslinti išsikeltus tikslus ir juos pasiekti;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28.4.5. </w:t>
      </w:r>
      <w:r>
        <w:rPr>
          <w:rFonts w:ascii="Times New Roman" w:hAnsi="Times New Roman" w:eastAsia="Times New Roman" w:cs="Times New Roman"/>
          <w:color w:val="000000"/>
          <w:sz w:val="24"/>
          <w:szCs w:val="24"/>
          <w:lang w:val="lt-LT"/>
        </w:rPr>
        <w:t>mokinio, besimokančio pagal pagrindinio ugdymo programą, vasaros atostogų metu atlikta socialinė-pilietinė veikla įskaitoma į aukštesnėje klasėje reikalingą atlikti socialinę-pilietinę veiklą;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28.4.6. klasės vadovas dėl mokinių, turinčių specialiųjų ugdymosi poreikių, socialinių-pilietinių veiklų atlikimo priima individualius sprendimus: atsižvelgdamas į mokinio galias, gebėjimus, suderinęs su mokinio tėvais (globėjais, rūpintojais) gali individualiai parinkti veiklas ir jų teikėjus, siūlyti jas atlikti Progimnazijoje. Atskirais atvejais, atsižvelgiant į mokinio asmens galias, mokinys Progimnazijos direktoriaus įsakymu gali būti atleistas nuo socialinės-pilietinės veiklos atlikimo;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28.4.7. klasių vadovai už mokinių socialinės-pilietinės veiklos rezultatus, pasibaigus ugdymo procesui (mokslo metams, jei privalomas metinių valandų skaičius nepanaudotas iki ugdymo proceso pabaigos), atsiskaito 5–8 klases kuruojantiems Progimnazijos direktoriaus pavaduotojams ugdymui;</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28.5. Per mokslo metus Progimnazijoje organizuojamos patirtinio ugdymo dienos pagal Ugdymo plane nustatytą grafiką. Patirtinis mokymas(is) – tai mokymo(si) strategija, kai esminis mokymo(si) išteklius yra patirtis. Tai mokymasis veikiant, kai galimybė patirti mokymosi turinio prasmę derinama su kryptinga refleksija ir analize. Patirtinis ugdymo metodas grįstas atradimais, tyrimais, bandymais, pažinimu natūralioje aplinkoje. </w:t>
      </w:r>
    </w:p>
    <w:p>
      <w:pPr>
        <w:widowControl w:val="0"/>
        <w:tabs>
          <w:tab w:val="left" w:pos="993"/>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p>
    <w:tbl>
      <w:tblPr>
        <w:tblStyle w:val="22"/>
        <w:tblW w:w="9629" w:type="dxa"/>
        <w:tblInd w:w="0" w:type="dxa"/>
        <w:tblLayout w:type="fixed"/>
        <w:tblCellMar>
          <w:top w:w="0" w:type="dxa"/>
          <w:left w:w="108" w:type="dxa"/>
          <w:bottom w:w="0" w:type="dxa"/>
          <w:right w:w="108" w:type="dxa"/>
        </w:tblCellMar>
      </w:tblPr>
      <w:tblGrid>
        <w:gridCol w:w="530"/>
        <w:gridCol w:w="1404"/>
        <w:gridCol w:w="2301"/>
        <w:gridCol w:w="2288"/>
        <w:gridCol w:w="3106"/>
      </w:tblGrid>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Nr.</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Data</w:t>
            </w:r>
          </w:p>
        </w:tc>
        <w:tc>
          <w:tcPr>
            <w:tcW w:w="230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Ugdymo turinys</w:t>
            </w:r>
          </w:p>
        </w:tc>
        <w:tc>
          <w:tcPr>
            <w:tcW w:w="228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Dalyviai</w:t>
            </w:r>
          </w:p>
        </w:tc>
        <w:tc>
          <w:tcPr>
            <w:tcW w:w="31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Atsakingas</w:t>
            </w:r>
          </w:p>
        </w:tc>
      </w:tr>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Spalio 12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 (tikslo, uždavinių, rezultato siekimo būdai, veiklos)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88" w:hRule="atLeast"/>
        </w:trPr>
        <w:tc>
          <w:tcPr>
            <w:tcW w:w="53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Spalio 30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Lapkričio 17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4.</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Kovo 17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415"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w:t>
            </w: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Balandžio 14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Patirtinis ugdymas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1–8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Dalykų mokytojai</w:t>
            </w:r>
          </w:p>
        </w:tc>
      </w:tr>
      <w:tr>
        <w:tblPrEx>
          <w:tblLayout w:type="fixed"/>
          <w:tblCellMar>
            <w:top w:w="0" w:type="dxa"/>
            <w:left w:w="108" w:type="dxa"/>
            <w:bottom w:w="0" w:type="dxa"/>
            <w:right w:w="108" w:type="dxa"/>
          </w:tblCellMar>
        </w:tblPrEx>
        <w:trPr>
          <w:trHeight w:val="213" w:hRule="atLeast"/>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numPr>
                <w:ilvl w:val="0"/>
                <w:numId w:val="4"/>
              </w:numPr>
              <w:spacing w:after="0" w:line="240" w:lineRule="auto"/>
              <w:jc w:val="center"/>
              <w:rPr>
                <w:rFonts w:ascii="Times New Roman" w:hAnsi="Times New Roman" w:eastAsia="Times New Roman" w:cs="Times New Roman"/>
                <w:color w:val="000000"/>
                <w:sz w:val="24"/>
                <w:szCs w:val="24"/>
                <w:lang w:val="lt-LT"/>
              </w:rPr>
            </w:pPr>
          </w:p>
        </w:tc>
        <w:tc>
          <w:tcPr>
            <w:tcW w:w="140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Gegužės 20 d.</w:t>
            </w:r>
          </w:p>
        </w:tc>
        <w:tc>
          <w:tcPr>
            <w:tcW w:w="23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rezultatų pristatymas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1−4 klasės</w:t>
            </w:r>
          </w:p>
        </w:tc>
        <w:tc>
          <w:tcPr>
            <w:tcW w:w="310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Kuruojantys vadovai, dalykų mokytojai</w:t>
            </w:r>
          </w:p>
        </w:tc>
      </w:tr>
      <w:tr>
        <w:tblPrEx>
          <w:tblLayout w:type="fixed"/>
          <w:tblCellMar>
            <w:top w:w="0" w:type="dxa"/>
            <w:left w:w="108" w:type="dxa"/>
            <w:bottom w:w="0" w:type="dxa"/>
            <w:right w:w="108" w:type="dxa"/>
          </w:tblCellMar>
        </w:tblPrEx>
        <w:trPr>
          <w:trHeight w:val="207" w:hRule="atLeast"/>
        </w:trPr>
        <w:tc>
          <w:tcPr>
            <w:tcW w:w="53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7</w:t>
            </w:r>
            <w:r>
              <w:rPr>
                <w:rFonts w:ascii="Times New Roman" w:hAnsi="Times New Roman" w:eastAsia="Times New Roman" w:cs="Times New Roman"/>
                <w:color w:val="000000"/>
                <w:sz w:val="24"/>
                <w:szCs w:val="24"/>
                <w:lang w:val="lt-LT"/>
              </w:rPr>
              <w:t>.</w:t>
            </w:r>
          </w:p>
        </w:tc>
        <w:tc>
          <w:tcPr>
            <w:tcW w:w="1404"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Gegužės 21 d.</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rezultatų pristatymas</w:t>
            </w: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5–6 klasės</w:t>
            </w:r>
          </w:p>
        </w:tc>
        <w:tc>
          <w:tcPr>
            <w:tcW w:w="3106"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Kuruojantys vadovai, dalykų mokytojai</w:t>
            </w:r>
          </w:p>
        </w:tc>
      </w:tr>
      <w:tr>
        <w:tblPrEx>
          <w:tblLayout w:type="fixed"/>
          <w:tblCellMar>
            <w:top w:w="0" w:type="dxa"/>
            <w:left w:w="108" w:type="dxa"/>
            <w:bottom w:w="0" w:type="dxa"/>
            <w:right w:w="108" w:type="dxa"/>
          </w:tblCellMar>
        </w:tblPrEx>
        <w:trPr>
          <w:trHeight w:val="330" w:hRule="atLeast"/>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1404" w:type="dxa"/>
            <w:vMerge w:val="continue"/>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val="0"/>
              <w:spacing w:after="0" w:line="240" w:lineRule="auto"/>
              <w:rPr>
                <w:rFonts w:ascii="Times New Roman" w:hAnsi="Times New Roman" w:eastAsia="Times New Roman" w:cs="Times New Roman"/>
                <w:color w:val="000000"/>
                <w:sz w:val="24"/>
                <w:szCs w:val="24"/>
                <w:lang w:val="lt-LT"/>
              </w:rPr>
            </w:pP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c>
          <w:tcPr>
            <w:tcW w:w="228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7–8 klasės</w:t>
            </w:r>
          </w:p>
        </w:tc>
        <w:tc>
          <w:tcPr>
            <w:tcW w:w="310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bl>
    <w:p>
      <w:pPr>
        <w:widowControl w:val="0"/>
        <w:tabs>
          <w:tab w:val="left" w:pos="993"/>
          <w:tab w:val="left" w:pos="1134"/>
          <w:tab w:val="left" w:pos="1276"/>
        </w:tabs>
        <w:spacing w:after="0" w:line="240" w:lineRule="auto"/>
        <w:ind w:left="720"/>
        <w:jc w:val="both"/>
        <w:rPr>
          <w:rFonts w:ascii="Times New Roman" w:hAnsi="Times New Roman" w:eastAsia="Times New Roman" w:cs="Times New Roman"/>
          <w:color w:val="000000"/>
          <w:sz w:val="24"/>
          <w:szCs w:val="24"/>
          <w:lang w:val="lt-LT"/>
        </w:rPr>
      </w:pPr>
    </w:p>
    <w:p>
      <w:pPr>
        <w:widowControl w:val="0"/>
        <w:numPr>
          <w:ilvl w:val="2"/>
          <w:numId w:val="5"/>
        </w:numPr>
        <w:tabs>
          <w:tab w:val="left" w:pos="0"/>
          <w:tab w:val="left" w:pos="993"/>
          <w:tab w:val="left" w:pos="1134"/>
          <w:tab w:val="left" w:pos="1276"/>
        </w:tabs>
        <w:spacing w:after="0" w:line="240" w:lineRule="auto"/>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Patirtinio ugdymo organizavimas: </w:t>
      </w:r>
    </w:p>
    <w:p>
      <w:pPr>
        <w:widowControl w:val="0"/>
        <w:numPr>
          <w:ilvl w:val="2"/>
          <w:numId w:val="5"/>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grupės gali būti sudaromos iš vienos (pradinėse klasėse), paralelių ar gretimų 5</w:t>
      </w:r>
      <w:r>
        <w:rPr>
          <w:color w:val="000000"/>
          <w:sz w:val="32"/>
          <w:szCs w:val="32"/>
          <w:lang w:val="lt-LT"/>
        </w:rPr>
        <w:t>–</w:t>
      </w:r>
      <w:r>
        <w:rPr>
          <w:rFonts w:ascii="Times New Roman" w:hAnsi="Times New Roman" w:eastAsia="Times New Roman" w:cs="Times New Roman"/>
          <w:color w:val="000000"/>
          <w:sz w:val="24"/>
          <w:szCs w:val="24"/>
          <w:lang w:val="lt-LT"/>
        </w:rPr>
        <w:t>8 klasių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28.5.3. iki rugsėjo 30 d. dalykų mokytojai parengia patirtinio ugdymo programas ir teikia jas derinti direktoriaus pavaduotojams ugdymui pagal kuruojamas klases (1–4, 5–6, 7–8);</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su patirtinio ugdymo programomis supažindinami mokiniai ir jų tėvai (globėjai, rūpintojai), programas viešai skelbiant Progimnazijos patalpose ir interneto svetainėje;</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programą gali rengti ir vykdyti du mokytojai (integruota 2 dalykų programa). Tokiu atveju programoje numatoma, kokias bendrąsias kompetencijas, dalykines žinias ir gebėjimus mokiniai ugdysis;</w:t>
      </w:r>
    </w:p>
    <w:p>
      <w:pPr>
        <w:widowControl w:val="0"/>
        <w:numPr>
          <w:ilvl w:val="2"/>
          <w:numId w:val="6"/>
        </w:numPr>
        <w:tabs>
          <w:tab w:val="left" w:pos="0"/>
          <w:tab w:val="left" w:pos="993"/>
          <w:tab w:val="left" w:pos="1134"/>
          <w:tab w:val="left" w:pos="1276"/>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programą mokiniai renkasi savo nuožiūra, pasitarę su tėvais (globėjais, rūpintojais), atsižvelgdami į asmeninius ugdymosi prioritetus ir siekiamą pažangą;</w:t>
      </w:r>
    </w:p>
    <w:p>
      <w:pPr>
        <w:widowControl w:val="0"/>
        <w:numPr>
          <w:ilvl w:val="2"/>
          <w:numId w:val="6"/>
        </w:numPr>
        <w:tabs>
          <w:tab w:val="left" w:pos="0"/>
          <w:tab w:val="left" w:pos="993"/>
          <w:tab w:val="left" w:pos="1134"/>
          <w:tab w:val="left" w:pos="1276"/>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grupę gali sudaryti ne mažiau kaip 15, o programą įgyvendinant 2 mokytojams – 30 mokinių;</w:t>
      </w:r>
    </w:p>
    <w:p>
      <w:pPr>
        <w:widowControl w:val="0"/>
        <w:tabs>
          <w:tab w:val="left" w:pos="993"/>
          <w:tab w:val="left" w:pos="1134"/>
          <w:tab w:val="left" w:pos="1276"/>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28.5.8. elektroniniame dienyne įvedamas dalykas „Patirtinis ugdymas“, sudaromas mokinių sąrašas;</w:t>
      </w:r>
    </w:p>
    <w:p>
      <w:pPr>
        <w:widowControl w:val="0"/>
        <w:numPr>
          <w:ilvl w:val="2"/>
          <w:numId w:val="7"/>
        </w:numPr>
        <w:tabs>
          <w:tab w:val="left" w:pos="0"/>
          <w:tab w:val="left" w:pos="993"/>
          <w:tab w:val="left" w:pos="1134"/>
          <w:tab w:val="left" w:pos="1276"/>
        </w:tabs>
        <w:spacing w:after="0" w:line="240" w:lineRule="auto"/>
        <w:ind w:left="142" w:firstLine="567"/>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pirmojo susitikimo su grupe metu programą įgyvendinantis mokytojas (-ai) supažindina mokinius su programos turiniu, tikslu, planuojamomis veiklomis, rezultatais ir pasiekimų vertinimu;</w:t>
      </w:r>
    </w:p>
    <w:p>
      <w:pPr>
        <w:widowControl w:val="0"/>
        <w:numPr>
          <w:ilvl w:val="2"/>
          <w:numId w:val="7"/>
        </w:numPr>
        <w:tabs>
          <w:tab w:val="left" w:pos="0"/>
          <w:tab w:val="left" w:pos="993"/>
          <w:tab w:val="left" w:pos="1134"/>
          <w:tab w:val="left" w:pos="1276"/>
          <w:tab w:val="left" w:pos="1539"/>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kiekvieną patirtinio ugdymo dieną mokinių pasiekimai vertinami „įskaityta“ (jei mokinys dalyvavo visose patirtinio ugdymo veiklose ir atliko užduotis) arba „n“ (jei mokinys neatvyko į patirtinio ugdymo dieną);</w:t>
      </w:r>
    </w:p>
    <w:p>
      <w:pPr>
        <w:widowControl w:val="0"/>
        <w:numPr>
          <w:ilvl w:val="2"/>
          <w:numId w:val="7"/>
        </w:numPr>
        <w:tabs>
          <w:tab w:val="left" w:pos="0"/>
          <w:tab w:val="left" w:pos="993"/>
          <w:tab w:val="left" w:pos="1134"/>
          <w:tab w:val="left" w:pos="1276"/>
          <w:tab w:val="left" w:pos="1560"/>
          <w:tab w:val="left" w:pos="1701"/>
        </w:tabs>
        <w:spacing w:after="0" w:line="240" w:lineRule="auto"/>
        <w:ind w:left="0" w:firstLine="69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mokiniui neatvykus į patirtinio ugdymo dieną dėl ligos ar kitos svarbios priežasties, tėvai (globėjai, rūpintojai) per elektroninį dienyną praneša programos vadovui mokinio neatvykimo priežastį; mokiniui, grįžusiam į ugdymo procesą, skiriamos užduotys savarankiškam tiriamajam darbui;</w:t>
      </w:r>
    </w:p>
    <w:p>
      <w:pPr>
        <w:widowControl w:val="0"/>
        <w:numPr>
          <w:ilvl w:val="2"/>
          <w:numId w:val="7"/>
        </w:numPr>
        <w:tabs>
          <w:tab w:val="left" w:pos="0"/>
          <w:tab w:val="left" w:pos="993"/>
          <w:tab w:val="left" w:pos="1134"/>
          <w:tab w:val="left" w:pos="1276"/>
          <w:tab w:val="left" w:pos="1560"/>
          <w:tab w:val="left" w:pos="1701"/>
        </w:tabs>
        <w:spacing w:after="0" w:line="240" w:lineRule="auto"/>
        <w:ind w:left="0"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mokinys savarankišką tiriamąjį darbą pristato mokytojo nurodytu terminu, bet ne vėliau kaip iki kitos patirtinio ugdymo dienos;</w:t>
      </w:r>
    </w:p>
    <w:p>
      <w:pPr>
        <w:widowControl w:val="0"/>
        <w:tabs>
          <w:tab w:val="left" w:pos="993"/>
          <w:tab w:val="left" w:pos="1134"/>
          <w:tab w:val="left" w:pos="1276"/>
          <w:tab w:val="left" w:pos="1560"/>
          <w:tab w:val="left" w:pos="1701"/>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28.5.13. mokiniui, atlikusiam savarankišką tiriamąją užduotį, dienyno skiltyje „Įvertinimo komentarai“ įrašoma „Savarankiškas darbas įskaitytas“;</w:t>
      </w:r>
    </w:p>
    <w:p>
      <w:pPr>
        <w:widowControl w:val="0"/>
        <w:numPr>
          <w:ilvl w:val="2"/>
          <w:numId w:val="8"/>
        </w:numPr>
        <w:tabs>
          <w:tab w:val="left" w:pos="0"/>
          <w:tab w:val="left" w:pos="709"/>
          <w:tab w:val="left" w:pos="993"/>
          <w:tab w:val="left" w:pos="1134"/>
          <w:tab w:val="left" w:pos="1276"/>
          <w:tab w:val="left" w:pos="1560"/>
        </w:tabs>
        <w:spacing w:after="0" w:line="240" w:lineRule="auto"/>
        <w:ind w:left="0" w:firstLine="69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pasibaigus pusmečiui, mokinio pasiekimai įvertinami įrašu „įskaityta“, jei mokinio pasiekimai per visas patirtinio ugdymo dienas įvertinti „įskaityta“ arba įskaityti savarankiškai atlikti darbai; </w:t>
      </w:r>
    </w:p>
    <w:p>
      <w:pPr>
        <w:widowControl w:val="0"/>
        <w:numPr>
          <w:ilvl w:val="2"/>
          <w:numId w:val="8"/>
        </w:numPr>
        <w:tabs>
          <w:tab w:val="left" w:pos="0"/>
          <w:tab w:val="left" w:pos="993"/>
          <w:tab w:val="left" w:pos="1134"/>
          <w:tab w:val="left" w:pos="1276"/>
          <w:tab w:val="left" w:pos="1560"/>
          <w:tab w:val="left" w:pos="1701"/>
        </w:tabs>
        <w:spacing w:after="0" w:line="240" w:lineRule="auto"/>
        <w:ind w:left="0" w:firstLine="708"/>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programą įgyvendinantis mokytojas atsakingas už mokinių lankomumą patirtinio ugdymo dienomis ir mokinių ugdymo rezultatus; mokiniui praleidus 2 patirtinio ugdymo dienas ir tėvams (globėjams, rūpintojams) nepranešus apie neatvykimo priežastį, mokytojas susisiekia su tėvais (globėjais, rūpintojais) ir informuoja kuruojantį direktoriaus pavaduotoją ugdymui;</w:t>
      </w:r>
    </w:p>
    <w:p>
      <w:pPr>
        <w:widowControl w:val="0"/>
        <w:numPr>
          <w:ilvl w:val="2"/>
          <w:numId w:val="8"/>
        </w:numPr>
        <w:tabs>
          <w:tab w:val="left" w:pos="0"/>
          <w:tab w:val="left" w:pos="993"/>
          <w:tab w:val="left" w:pos="1134"/>
          <w:tab w:val="left" w:pos="1276"/>
          <w:tab w:val="left" w:pos="1418"/>
          <w:tab w:val="left" w:pos="1560"/>
        </w:tabs>
        <w:spacing w:after="0" w:line="240" w:lineRule="auto"/>
        <w:ind w:left="142" w:firstLine="566"/>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Gavus metinį įvertinimą „neįskaityta“, mokiniui skiriamas individualus darbas patirtinio ugdymo tema. Atliktą darbą mokinys pristato Progimnazijos direktoriaus įsakymu sudarytai patirtinio ugdymo rezultatų vertinimo grupei.</w:t>
      </w:r>
    </w:p>
    <w:p>
      <w:pPr>
        <w:widowControl w:val="0"/>
        <w:numPr>
          <w:ilvl w:val="2"/>
          <w:numId w:val="8"/>
        </w:numPr>
        <w:tabs>
          <w:tab w:val="left" w:pos="0"/>
          <w:tab w:val="left" w:pos="993"/>
          <w:tab w:val="left" w:pos="1134"/>
          <w:tab w:val="left" w:pos="1276"/>
          <w:tab w:val="left" w:pos="1418"/>
          <w:tab w:val="left" w:pos="1560"/>
        </w:tabs>
        <w:spacing w:after="0" w:line="240" w:lineRule="auto"/>
        <w:ind w:left="142" w:firstLine="566"/>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patirtinio ugdymo rezultatus kiekviena grupė pristato Progimnazijos bendruomenei.</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 Medijų ir informacinio raštingumo ugdymas:</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28.6.1.</w:t>
      </w:r>
      <w:r>
        <w:rPr>
          <w:rFonts w:ascii="Tahoma" w:hAnsi="Tahoma" w:eastAsia="Tahoma" w:cs="Tahoma"/>
          <w:color w:val="000000"/>
          <w:sz w:val="20"/>
          <w:szCs w:val="20"/>
          <w:highlight w:val="white"/>
          <w:lang w:val="lt-LT"/>
        </w:rPr>
        <w:t xml:space="preserve"> </w:t>
      </w:r>
      <w:r>
        <w:rPr>
          <w:rFonts w:ascii="Times New Roman" w:hAnsi="Times New Roman" w:eastAsia="Times New Roman" w:cs="Times New Roman"/>
          <w:color w:val="000000"/>
          <w:sz w:val="24"/>
          <w:szCs w:val="24"/>
          <w:highlight w:val="white"/>
          <w:lang w:val="lt-LT"/>
        </w:rPr>
        <w:t xml:space="preserve">ugdant informacinį raštingumą, siekiama, kad mokiniai įgytų medijų ir informacinio raštingumo pradmenis, susipažintų su jų naudojimo principais: gebėtų naršyti informacijos gausoje, efektyviai ieškotų ir rastų jiems reikiamą informaciją, mokytųsi ją kritiškai vertinti ir atsakingai naudoti; </w:t>
      </w:r>
    </w:p>
    <w:p>
      <w:pPr>
        <w:tabs>
          <w:tab w:val="left" w:pos="1276"/>
        </w:tabs>
        <w:spacing w:after="0" w:line="240" w:lineRule="auto"/>
        <w:ind w:firstLine="709"/>
        <w:jc w:val="both"/>
        <w:rPr>
          <w:rFonts w:ascii="Times New Roman" w:hAnsi="Times New Roman" w:eastAsia="Times New Roman" w:cs="Times New Roman"/>
          <w:color w:val="000000"/>
          <w:sz w:val="20"/>
          <w:szCs w:val="20"/>
          <w:lang w:val="lt-LT"/>
        </w:rPr>
      </w:pPr>
      <w:r>
        <w:rPr>
          <w:rFonts w:ascii="Times New Roman" w:hAnsi="Times New Roman" w:eastAsia="Times New Roman" w:cs="Times New Roman"/>
          <w:color w:val="000000"/>
          <w:sz w:val="24"/>
          <w:szCs w:val="24"/>
          <w:lang w:val="lt-LT"/>
        </w:rPr>
        <w:t>28.6.2. informacinio raštingumo mokomasi per įvairių dalykų pamokas, supažindinant su interneto, medijų paskirtimi, jų teikiama informacija, šaltiniais ir saugyklomis, informacinių technologijų įtaka visuomenei ir kultūrai ir kt.;</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28.6.3. pamokose naudojamos skaitmeninės mokymo priemonės (EDUKA</w:t>
      </w:r>
      <w:r>
        <w:rPr>
          <w:rFonts w:ascii="Times New Roman" w:hAnsi="Times New Roman" w:eastAsia="Times New Roman" w:cs="Times New Roman"/>
          <w:sz w:val="24"/>
          <w:szCs w:val="24"/>
          <w:lang w:val="lt-LT"/>
        </w:rPr>
        <w:t xml:space="preserve"> klasė, E. atlasas „Mano gaublys“, Pedagogas.lt.  „ePamokos“ ir kt.), mokytojai dalyvauja „Vedlių“ programoje;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28.6.4. organizuojami Saugesnio interneto dienos renginiai, informacinių technologijų veiklos, viktorinos, konkursai, dalyvaujama šalies projektuose;</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28.6.5. visi kabinetai aprūpinti daugialypės terpės projektoriais,</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 xml:space="preserve">naudojami Smart interaktyvieji ekranai, planšetės ir nešiojamieji kompiuteriai, įrengta 19 hibridinių klasių;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28.6.6. hibridinis mokymas organizuojamas vadovaujantis</w:t>
      </w:r>
      <w:r>
        <w:rPr>
          <w:rFonts w:ascii="Times New Roman" w:hAnsi="Times New Roman" w:eastAsia="Times New Roman" w:cs="Times New Roman"/>
          <w:color w:val="000000"/>
          <w:sz w:val="24"/>
          <w:szCs w:val="24"/>
          <w:lang w:val="lt-LT"/>
        </w:rPr>
        <w:t xml:space="preserve"> „Klaipėdos uostamiesčio progimnazijos hibridinio mokymo tvarkos aprašu“, patvirtintu Progimnazijos direktoriaus 2021 m. gruodžio 6 d. įsakymu Nr. V1-116. </w:t>
      </w:r>
      <w:r>
        <w:rPr>
          <w:rFonts w:ascii="Times New Roman" w:hAnsi="Times New Roman" w:eastAsia="Times New Roman" w:cs="Times New Roman"/>
          <w:sz w:val="24"/>
          <w:szCs w:val="24"/>
          <w:lang w:val="lt-LT"/>
        </w:rPr>
        <w:t>Hibridinis mokymas padeda organizuoti nenutrūkstamą ugdymo procesą, atskirų mokinių mokymąsi, kai dėl tam tikrų aplinkybių jie negali mokytis kartu su bendraamžiais klasėje;</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28.7.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Mokinių profesinį orientavimą organizuoja Progimnazijos karjeros specialistas, vadovaudamasis Profesinio orientavimo teikimo tvarkos aprašu, patvirtintu Lietuvos Respublikos Vyriausybės 2022 m. rugpjūčio 24 d. nutarimu Nr. 847 „Dėl Profesinio orientavimo teikimo tvarkos aprašo patvirtinimo“, ir Rekomendacijomis dėl karjeros specialistų funkcijų ir profesinio orientavimo paslaugų teikimo švietimo įstaigose, patvirtintomis Lietuvos Respublikos švietimo, mokslo ir sporto ministro 2022 m. rugpjūčio 31 d. įsakymu Nr. V-1334. Profesinis orientavimas įgyvendinamas teikiant ugdymo karjerai, profesinio informavimo ir profesinio konsultavimo paslaugas: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28.7.1. ugdymo karjerai temos integruojamos į dalykų ugdymo turinį, klasių valandėles, neformaliojo vaikų švietimo ir kitas Progimnazijos veiklas;</w:t>
      </w:r>
    </w:p>
    <w:p>
      <w:pPr>
        <w:tabs>
          <w:tab w:val="left" w:pos="709"/>
          <w:tab w:val="left" w:pos="1276"/>
        </w:tabs>
        <w:spacing w:after="0" w:line="240" w:lineRule="auto"/>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28.7.2. organizuojami mokinių susitikimai su įvairių profesijų atstovais, pažintiniai vizitai į įmones, įstaigas, profesinio mokymo ir kitas švietimo įstaigas, sudarant mokiniams galimybes susipažinti su profesijų įvairove, darbo aplinka ir karjeros galimybėmis;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28.7.3. mokiniams sudaromos sąlygos dalyvauti profesinio orientavimo, karjeros pažinimo renginiuose, projektuose, edukacinėse veiklose ir kitose su ugdymu karjerai susijusiose veiklose;</w:t>
      </w:r>
    </w:p>
    <w:p>
      <w:pPr>
        <w:tabs>
          <w:tab w:val="left" w:pos="709"/>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28.7.4. Progimnazijos karjeros specialistas teikia mokiniams individualias ir grupines konsultacijas savęs pažinimo, karjeros planavimo, profesijų ir mokymosi galimybių pažinimo klausimais, pagal poreikį taiko karjeros interesų, gebėjimų ir kitus savęs pažinimo įrankius.</w:t>
      </w:r>
    </w:p>
    <w:p>
      <w:pPr>
        <w:tabs>
          <w:tab w:val="left" w:pos="709"/>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28.8. Progimnazijoje įgyvendinami Humanistinės kultūros ugdymo menine veikla sampratos, patvirtintos Lietuvos Respublikos švietimo ir mokslo ministro 2021 m. lapkričio 16 d. įsakymu Nr. V-1595 elementai. Siekiama, kad per meninę veiklą mokiniai perimtų humanistines vertybes ir perkeltų jas į gyvenimo ir ugdymo sritis: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28.8.1. kiekvienoje pradinių klasių paralelėje formuojama klasė, kurioje vykdoma kryptingo meninio ugdymo (teatro) programa (toliau </w:t>
      </w:r>
      <w:r>
        <w:rPr>
          <w:rFonts w:ascii="Times New Roman" w:hAnsi="Times New Roman" w:eastAsia="Times New Roman" w:cs="Times New Roman"/>
          <w:sz w:val="24"/>
          <w:szCs w:val="24"/>
          <w:lang w:val="lt-LT"/>
        </w:rPr>
        <w:t>–</w:t>
      </w:r>
      <w:r>
        <w:rPr>
          <w:rFonts w:ascii="Times New Roman" w:hAnsi="Times New Roman" w:eastAsia="Times New Roman" w:cs="Times New Roman"/>
          <w:color w:val="000000"/>
          <w:sz w:val="24"/>
          <w:szCs w:val="24"/>
          <w:lang w:val="lt-LT"/>
        </w:rPr>
        <w:t xml:space="preserve"> Teatro programa). </w:t>
      </w:r>
      <w:r>
        <w:rPr>
          <w:rFonts w:ascii="Times New Roman" w:hAnsi="Times New Roman" w:eastAsia="Times New Roman" w:cs="Times New Roman"/>
          <w:sz w:val="24"/>
          <w:szCs w:val="24"/>
          <w:lang w:val="lt-LT"/>
        </w:rPr>
        <w:t>Teatro programa,</w:t>
      </w:r>
      <w:r>
        <w:rPr>
          <w:rFonts w:ascii="Times New Roman" w:hAnsi="Times New Roman" w:eastAsia="Times New Roman" w:cs="Times New Roman"/>
          <w:color w:val="000000"/>
          <w:sz w:val="24"/>
          <w:szCs w:val="24"/>
          <w:lang w:val="lt-LT"/>
        </w:rPr>
        <w:t xml:space="preserve"> pritarus Klaipėdos miesto savivaldybės administracijos Ugdymo ir kultūros departamento Švietimo skyriaus vedėjui 2015 m. birželio 19 d. įsakymu Nr. ŠV1-268,</w:t>
      </w:r>
      <w:r>
        <w:rPr>
          <w:rFonts w:ascii="Times New Roman" w:hAnsi="Times New Roman" w:eastAsia="Times New Roman" w:cs="Times New Roman"/>
          <w:sz w:val="24"/>
          <w:szCs w:val="24"/>
          <w:lang w:val="lt-LT"/>
        </w:rPr>
        <w:t xml:space="preserve"> patvirtinta Progimnazijos direktoriaus 2015 m. birželio 26 d. įsakymu Nr. V1-102</w:t>
      </w:r>
      <w:r>
        <w:rPr>
          <w:rFonts w:ascii="Times New Roman" w:hAnsi="Times New Roman" w:eastAsia="Times New Roman" w:cs="Times New Roman"/>
          <w:color w:val="000000"/>
          <w:sz w:val="24"/>
          <w:szCs w:val="24"/>
          <w:lang w:val="lt-LT"/>
        </w:rPr>
        <w:t>;</w:t>
      </w:r>
    </w:p>
    <w:p>
      <w:pPr>
        <w:tabs>
          <w:tab w:val="left" w:pos="709"/>
          <w:tab w:val="left" w:pos="1134"/>
        </w:tabs>
        <w:spacing w:after="0" w:line="240" w:lineRule="auto"/>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highlight w:val="white"/>
          <w:lang w:val="lt-LT"/>
        </w:rPr>
        <w:tab/>
      </w:r>
      <w:r>
        <w:rPr>
          <w:rFonts w:ascii="Times New Roman" w:hAnsi="Times New Roman" w:eastAsia="Times New Roman" w:cs="Times New Roman"/>
          <w:sz w:val="24"/>
          <w:szCs w:val="24"/>
          <w:highlight w:val="white"/>
          <w:lang w:val="lt-LT"/>
        </w:rPr>
        <w:t>28.8.2. veikia mokinių teatras „Maska“, dalyvaujama šalies ir tarptautiniuose teatrinio meno konkursuose.</w:t>
      </w:r>
    </w:p>
    <w:p>
      <w:pPr>
        <w:tabs>
          <w:tab w:val="left" w:pos="1134"/>
          <w:tab w:val="left" w:pos="1276"/>
          <w:tab w:val="left" w:pos="1418"/>
        </w:tabs>
        <w:spacing w:after="0" w:line="240" w:lineRule="auto"/>
        <w:jc w:val="both"/>
        <w:rPr>
          <w:rFonts w:ascii="Times New Roman" w:hAnsi="Times New Roman" w:eastAsia="Times New Roman" w:cs="Times New Roman"/>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KETVIRTASIS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INDIVIDUALAUS UGDYMO PLANO SUDARYMAS, MOKINIO PAŽANGOS IR PASIEKIMŲ VERTINIMAS</w:t>
      </w:r>
    </w:p>
    <w:p>
      <w:pPr>
        <w:tabs>
          <w:tab w:val="left" w:pos="1276"/>
        </w:tabs>
        <w:spacing w:after="0" w:line="240" w:lineRule="auto"/>
        <w:jc w:val="both"/>
        <w:rPr>
          <w:rFonts w:ascii="Times New Roman" w:hAnsi="Times New Roman" w:eastAsia="Times New Roman" w:cs="Times New Roman"/>
          <w:b/>
          <w:bCs/>
          <w:color w:val="FF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Individualus ugdymo planas sudaromas mokiniui, atsižvelgiant į jo galias ir mokymosi poreikius. Jis padeda mokiniui išsikelti mokymosi tikslus, jų siekti ir prisiimti atsakomybę už savo mokymąsi. Individualus ugdymo planas sudaromas: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29.1. asmeniui, atvykusiam ar grįžusiam iš užsienio;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29.2. mokiniui, mokomam namie pagal gydytojų konsultacinės komisijos rekomendacijas;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29.3. mokiniui, turinčiam specialiųjų ugdymosi poreikių;</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29.4. išskirtinių gabumų mokiniui, siekiančiam aukštų mokymosi pasiekimų.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30. Individualus ugdymo planas gali būti sudaromas mokiniui, kurio pasiekimai yra žemesni, negu numatyta Bendrosiose programose, ir kuris nedaro pažangos, arba mokiniui, besimokančiam itin sėkmingai, ypač galinčiam pasiekti aukštesnįjį pasiekimų lygį. Tokiu atveju individualus ugdymo planas sudaromas mokinio gabumams plėtoti, gebėjimams ugdyti ir individualiai pažangai siekti.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31. Mokinio individualiame ugdymo plane numatomi mokomieji dalykai, jiems skiriamų pamokų skaičius, mokymosi tikslai, pagalbos poreikis ir kitos mokinio ugdymui svarbios nuostatos. Individualus ugdymo planas derinamas su mokiniu ir jo tėvais (globėjais, rūpintojais) ir tvirtinamas Progimnazijos direktoriaus įsakymu.</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32. Mokinio individualus ugdymo planas įgyvendinamas bendradarbiaujant mokiniui, jo tėvams (globėjams, rūpintojams), mokytojams, švietimo pagalbos specialistams ir Progimnazijos administracijai. Planas periodiškai peržiūrimas ir prireikus koreguojamas, atsižvelgiant į mokinio mokymosi pasiekimus, pažangą ir individualius ugdymosi poreikius.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33. Vertinant mokinių pažangą ir pasiekimus, vadovaujamasi Bendrosiomis programomis, Nuosekliojo mokymosi pagal bendrojo ugdymo programas tvarkos aprašu ir Progimnazijos mokinių ugdymo pažangos ir pasiekimų vertinimo ir įsivertinimo tvarkos aprašu, patvirtintu Progimnazijos direktoriaus 2024 m. kovo 15 d. įsakymu Nr. V1-28. Planuodamas ugdymo procesą, dalyko mokytojas, vadovaudamasis Progimnazijos susitarimais, atsižvelgdamas į mokymosi tikslus, mokinių mokymosi patirtį ir gebėjimus, numato vertinimo būdus ir kriterijus:</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33.1. planuodami mokinių, pradedančių mokytis pagal pradinio ugdymo programą, pažangos ir pasiekimų vertinimą, mokytojai ir švietimo pagalbos specialistai atsižvelgia į priešmokyklinio ugdymo programos baigimo pasiekimų ir pažangos vertinimo informaciją, o planuodami mokinių, pradedančių mokytis pagal pagrindinio ugdymo programą, vertinimą – į pradinio ugdymo programos baigimo pasiekimų ir pažangos vertinimo informaciją;</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33.2. mokytojas mokslo metų pradžioje su mokiniais aptaria dalyko vertinimo kriterijus, būdus ir kaupiamojo vertinimo principus;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33.3. visus mokslo metus mokytojas, vadovaudamasis </w:t>
      </w:r>
      <w:r>
        <w:rPr>
          <w:rFonts w:ascii="Times New Roman" w:hAnsi="Times New Roman" w:eastAsia="Times New Roman" w:cs="Times New Roman"/>
          <w:sz w:val="24"/>
          <w:szCs w:val="24"/>
          <w:lang w:val="lt-LT"/>
        </w:rPr>
        <w:t>Mokinių individualios pažangos stebėjimo, fiksavimo, analizavimo, informavimo ir pagalbos mokiniui teikimo tvarkos aprašo, patvirtinto Klaipėdos uostamiesčio progimnazijos direktoriaus 2018 m. gegužės 2 d. įsakymu Nr. V1-55,</w:t>
      </w:r>
      <w:r>
        <w:rPr>
          <w:rFonts w:ascii="Times New Roman" w:hAnsi="Times New Roman" w:eastAsia="Times New Roman" w:cs="Times New Roman"/>
          <w:color w:val="000000"/>
          <w:sz w:val="24"/>
          <w:szCs w:val="24"/>
          <w:lang w:val="lt-LT"/>
        </w:rPr>
        <w:t xml:space="preserve"> nuostatomis, stebi, renka informaciją ir analizuoja individualią mokinių pažangą, skatina mokinius ir jų tėvus (globėjus, rūpintojus) planuoti ir siekti pažangos.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34. Bendrosiose programose išskirti slenkstinis, patenkinamas, pagrindinis ir aukštesnysis pasiekimų lygiai. Pradinio ugdymo programoje mokinių pasiekimai pažymiais nevertinami. Pagrindinio ugdymo programoje pasiekimų lygiai siejami su pažymiais: slenkstinis lygis – 4 balai, patenkinamas – 5–6 balai, pagrindinis – 7–8 balai, aukštesnysis – 9–10 balų.</w:t>
      </w:r>
    </w:p>
    <w:p>
      <w:pPr>
        <w:widowControl w:val="0"/>
        <w:spacing w:after="0" w:line="240" w:lineRule="auto"/>
        <w:ind w:firstLine="680"/>
        <w:jc w:val="both"/>
        <w:rPr>
          <w:rFonts w:ascii="Times New Roman" w:hAnsi="Times New Roman" w:eastAsia="Times New Roman" w:cs="Times New Roman"/>
          <w:i/>
          <w:iCs/>
          <w:sz w:val="24"/>
          <w:szCs w:val="24"/>
          <w:lang w:val="lt-LT"/>
        </w:rPr>
      </w:pPr>
      <w:r>
        <w:rPr>
          <w:rFonts w:ascii="Times New Roman" w:hAnsi="Times New Roman" w:eastAsia="Times New Roman" w:cs="Times New Roman"/>
          <w:sz w:val="24"/>
          <w:szCs w:val="24"/>
          <w:lang w:val="lt-LT"/>
        </w:rPr>
        <w:t xml:space="preserve">35. </w:t>
      </w:r>
      <w:r>
        <w:rPr>
          <w:rFonts w:ascii="Times New Roman" w:hAnsi="Times New Roman" w:eastAsia="Times New Roman" w:cs="Times New Roman"/>
          <w:color w:val="000000"/>
          <w:sz w:val="24"/>
          <w:szCs w:val="24"/>
          <w:lang w:val="lt-LT"/>
        </w:rPr>
        <w:t>Patenkinamas įvertinimas – įrašai „slenkstinis“, „patenkinamas“, „pagrindinis“, „aukštesnysis“, „atleista“ („atl.“), „įskaityta“ („įsk.“), 4–10 balų įvertinimas; nepatenkinamas įvertinimas – įrašai „nepatenkinamas“, „neįskaityta“ („neįsk.“), 1–3 balų įvertinimas.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36. </w:t>
      </w:r>
      <w:r>
        <w:rPr>
          <w:rFonts w:ascii="Times New Roman" w:hAnsi="Times New Roman" w:eastAsia="Times New Roman" w:cs="Times New Roman"/>
          <w:color w:val="000000"/>
          <w:sz w:val="24"/>
          <w:szCs w:val="24"/>
          <w:lang w:val="lt-LT"/>
        </w:rPr>
        <w:t>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37. Mokinys, laikinai (ne ilgiau kaip vieną mėnesį) su tėvais (globėjais, rūpintojais) išvykęs į užsienį, mokosi savarankiškai, vadovaudamasis elektroniniame dienyne pateikta informacija ir mokytojų skirtomis užduotimis. Grįžęs į Progimnaziją, mokinys pateikia mokytojams savarankiškai atliktas užduotis ir, jei reikia, atsiskaito už praleistą mokymosi turinį.</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38.</w:t>
      </w:r>
      <w:r>
        <w:rPr>
          <w:rFonts w:ascii="Times New Roman" w:hAnsi="Times New Roman" w:eastAsia="Times New Roman" w:cs="Times New Roman"/>
          <w:color w:val="000000"/>
          <w:sz w:val="24"/>
          <w:szCs w:val="24"/>
          <w:lang w:val="lt-LT"/>
        </w:rPr>
        <w:t xml:space="preserve"> Jeigu Progimnazija turi įrodymų, kad keliamosios klasės mokinio mokymosi pasiekimai yra aukštesni už Bendrosiose programose nustatytus aukštesniojo pasiekimų lygio reikalavimus, mokinys, jo tėvų (globėjų, rūpintojų) prašymu ir pritarus jį ugdantiems mokytojams bei Progimnazijos vaiko gerovės komisijai, gali būti keliamas į aukštesnę klasę praleidžiant klasę ir baigti ugdymo programą sparčiau.</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39. Mokiniams, turintiems nepatenkinamų metinių įvertinimų, sudaromos sąlygos atlikti papildomą darbą:</w:t>
      </w:r>
    </w:p>
    <w:p>
      <w:pPr>
        <w:tabs>
          <w:tab w:val="left" w:pos="1276"/>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39.1. dalyko mokytojas Progimnazijoje nustatyta tvarka parengia papildomo darbo atlikimo ir atsiskaitymo grafiką, nurodo temas, užduotis ir atsiskaitymo laiką. Grafikas derinamas su dalyką kuruojančiu direktoriaus pavaduotoju ugdymui, su juo supažindinami mokinys ir jo tėvai (globėjai, rūpintojai); </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39.2. rugpjūčio mėnesio paskutinę savaitę iki Mokytojų tarybos posėdžio dalyko mokytojas pateikia kuruojančiam Progimnazijos direktoriaus pavaduotojui ugdymui informaciją apie mokinio papildomo darbo įvertinimą; papildomo darbo įvertinimas laikomas metiniu;</w:t>
      </w:r>
    </w:p>
    <w:p>
      <w:pPr>
        <w:widowControl w:val="0"/>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39.3. sprendimą dėl mokinio kėlimo į aukštesnę klasę ar palikimo kartoti ugdymo programą, atsižvelgęs į mokytojų siūlymą, ne vėliau kaip paskutinę einamųjų mokslo metų darbo dieną priima Progimnazijos direktorius. Sprendimas įforminamas įsakymu, su įsakymu supažindinami mokinio tėvai (globėjai, rūpintojai);</w:t>
      </w:r>
    </w:p>
    <w:p>
      <w:pPr>
        <w:widowControl w:val="0"/>
        <w:spacing w:after="0" w:line="240" w:lineRule="auto"/>
        <w:ind w:firstLine="680"/>
        <w:jc w:val="both"/>
        <w:rPr>
          <w:rFonts w:ascii="Times New Roman" w:hAnsi="Times New Roman" w:eastAsia="Times New Roman" w:cs="Times New Roman"/>
          <w:i/>
          <w:iCs/>
          <w:sz w:val="24"/>
          <w:szCs w:val="24"/>
          <w:lang w:val="lt-LT"/>
        </w:rPr>
      </w:pPr>
      <w:r>
        <w:rPr>
          <w:rFonts w:ascii="Times New Roman" w:hAnsi="Times New Roman" w:eastAsia="Times New Roman" w:cs="Times New Roman"/>
          <w:sz w:val="24"/>
          <w:szCs w:val="24"/>
          <w:lang w:val="lt-LT"/>
        </w:rPr>
        <w:t>39.4. Pradinio ugdymo programos baigiamosios klasės mokinys, išskyrus besimokantį pagal pradinio ugdymo individualizuotą programą, turintis patenkinamus visų šios programos ugdymo plano dalykų metinius įvertinimus ir dalyvavęs lietuvių kalbos ir literatūros (skaitymas) ir matematikos nacionaliniuose mokinių pasiekimų patikrinimuose, išskyrus atvejus, kai Švietimo, mokslo ir sporto ministro nustatytais atvejais yra atleidžiamas nuo mokymosi pasiekimų patikrinimo, laikomas baigusiu pradinio ugdymo programą, įgijusiu pradinį išsilavinimą ir teisę mokytis pagal pagrindinio ugdymo programą.</w:t>
      </w:r>
      <w:r>
        <w:rPr>
          <w:rFonts w:ascii="Times New Roman" w:hAnsi="Times New Roman" w:eastAsia="Times New Roman" w:cs="Times New Roman"/>
          <w:i/>
          <w:iCs/>
          <w:sz w:val="24"/>
          <w:szCs w:val="24"/>
          <w:lang w:val="lt-LT"/>
        </w:rPr>
        <w:t xml:space="preserve"> </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40. Mokiniai dalyvauja tarptautiniuose ir nacionaliniuose pasiekimų tyrimuose. Tarptautinius ir nacionalinius tyrimus inicijuoja Lietuvos Respublikos švietimo, mokslo ir sporto ministerija. Mokinio NMPP pasiekimų rezultatai neįskaičiuojami į pusmečio įvertinimą. Jie naudojami mokinio mokymuisi, pažangai ir švietimo pagalbai planuoti.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41. Per adaptacinį laikotarpį (vieną mėnesį) 1, 5 klasių ir naujai atvykusių mokinių pažanga ir pasiekimai nevertinami.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41.1. 1 ir 5 klasių bei naujai į Progimnaziją atvykusių mokinių adaptacinis laikotarpis – vienas mėnuo. Adaptaciniu laikotarpiu taikomas formuojamasis vertinimas, o mokinių pasiekimai pažymiais nevertinami.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42. Pirmąsias dvi mokslo metų savaites 6–8 klasių mokiniams nerašomi nepatenkinami pažymiai ir neorganizuojami atsiskaitomieji darbai.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43. Mokinių, turinčių specialiųjų ugdymosi poreikių, mokymosi pasiekimų ir pažangos vertinimas: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43.1.</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mokinio, kuris mokosi pagal bendrojo ugdymo programą, mokymosi pasiekimai ir pažanga vertinami pagal bendrosiose programose numatytus pasiekimus ir vadovaujantis Bendrųjų ugdymo planų nuostatomis;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43.2. mokinio, kuriam bendrojo ugdymo programa pritaikoma, mokymosi pažanga ir pasiekimai ugdymo procese vertinami pagal mokinio individualiame ugdymo plane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43.3. mokinio, kuris mokosi pagal individualizuotą pradinio ugdymo ir individualizuotą pagrindinio ugdymo programą, mokymosi pasiekimų vertinimas (būdai, periodiškumas) ir įforminimas vykdomas, atsižvelgiant į mokinio galias, vertinimo suvokimą, specialiuosius ugdymosi poreikius, numatomą pažangą, tėvų (globėjų, rūpintojų) pageidavimus. Pusmečių ir metiniai mokinių pasiekimai vertinami įrašais „įskaityta“, „neįskaityta“;</w:t>
      </w:r>
    </w:p>
    <w:p>
      <w:pPr>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43.4. Pradinio ugdymo individualizuotos programos baigiamosios klasės mokinys, turintis visų šios programos ugdymo plano dalykų metinius įvertinimus, laikomas baigusiu pradinio ugdymo individualizuotą programą ir įgijusiu teisę mokytis tik pagal pagrindinio ugdymo individualizuotą programą.</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44. Mokinio, atvykusio ar grįžusio iš užsienio, pasiekimų vertinimas: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44.1. per adaptacinį laikotarpį (adaptacijos trukmė nurodoma mokinio individualiame plane) taikomas tik formuojamasis vertinimas;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44.2. mokinio, nemokančio ar nepakankamai mokančio lietuvių kalbos, lietuvių kalbos ir literatūros pasiekimai pirmaisiais mokymosi metais gali būti vertinami įrašais „įskaityta“, „neįskaityta“;</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44.3. suderinus su tėvais (globėjais, rūpintojais), įrašais „įskaityta“, „neįskaityta“ gali būti vertinami ir kitų dalykų pasiekimai.</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45. Kilus abejonių dėl mokinio pasiekimų įvertinimo objektyvumo, įvertinimas peržiūrimas Progimnazijos direktoriaus 2021 m. rugpjūčio 4 d. įsakymu Nr. V1-66 patvirtinta tvarka.</w:t>
      </w:r>
    </w:p>
    <w:p>
      <w:pPr>
        <w:tabs>
          <w:tab w:val="left" w:pos="1276"/>
        </w:tabs>
        <w:spacing w:after="0" w:line="240" w:lineRule="auto"/>
        <w:jc w:val="both"/>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PENKTASIS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MOKINIŲ MOKYMOSI KRŪVIO REGULIAVIMAS</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Progimnazijoje ugdymo proceso tvarkaraštis sudaromas vadovaujantis Lietuvos higienos normos reikalavimais ir užtikrinant, kad mokinių mokymosi krūvis neviršytų nustatytų reikalavimų.</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5 klasių ir naujai į Progimnaziją atvykusiems mokiniams nustatomas vieno mėnesio adaptacinis laikotarpis, kurio metu stebimas mokinių mokymosi krūvis, savijauta ir adaptacija. Adaptacijos rezultatai spalio mėnesį aptariami išplėstiniame Direkcijos posėdyje.</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 klasių mokiniams pirmąją mokslo metų savaitę ugdymo procesas, atsižvelgiant į mokinių adaptaciją, savijautą ir ugdymosi poreikius, gali būti skirstomas į įvairios trukmės ugdymo periodus.</w:t>
      </w:r>
    </w:p>
    <w:p>
      <w:pPr>
        <w:numPr>
          <w:ilvl w:val="0"/>
          <w:numId w:val="9"/>
        </w:numPr>
        <w:tabs>
          <w:tab w:val="left" w:pos="0"/>
          <w:tab w:val="left" w:pos="993"/>
          <w:tab w:val="left" w:pos="1134"/>
        </w:tabs>
        <w:spacing w:after="0" w:line="240"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Ilgalaikės konsultacijos, kurių trukmė lygi pamokos trukmei ir kurios organizuojamos visus mokslo metus, įskaitomos į mokinio mokymosi krūvį. Trumpalaikės konsultacijos, kurių trukmė trumpesnė už pamokos trukmę arba kurios organizuojamos trumpesnį laikotarpį, į mokinio mokymosi krūvį neįskaitomos. Mokinio tėvai (globėjai, rūpintojai) per elektroninį dienyną ar kitu sutartu būdu informuojami apie mokiniui siūlomą mokymosi pagalbą, jos formą ir mokinio daromą pažangą.</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Mokiniui, kuris atstovauja Progimnazijai varžybose, konkursuose, olimpiadose per mokinių atostogas, poilsio ar švenčių dienomis, šios dienos įskaitomos į mokinio ugdymo dienų skaičių. Mokinio prašymu jam gali būti suteikiamos poilsio dienos artimiausiomis darbo dienomis. Mokiniui, dalyvaujančiam šalies ar tarptautinėse olimpiadose, konkursuose, varžybose, gali būti suteikiama laisvo nuo pamokų laiko pasirengti. Šis laikas įskaitomas į mokinio ugdymo dienų skaičių.</w:t>
      </w:r>
    </w:p>
    <w:p>
      <w:pPr>
        <w:numPr>
          <w:ilvl w:val="0"/>
          <w:numId w:val="9"/>
        </w:numPr>
        <w:tabs>
          <w:tab w:val="left" w:pos="0"/>
          <w:tab w:val="left" w:pos="1134"/>
        </w:tabs>
        <w:spacing w:after="0" w:line="252" w:lineRule="auto"/>
        <w:ind w:left="0" w:firstLine="709"/>
        <w:jc w:val="both"/>
        <w:rPr>
          <w:rFonts w:ascii="Times New Roman" w:hAnsi="Times New Roman" w:eastAsia="Times New Roman" w:cs="Times New Roman"/>
          <w:lang w:val="lt-LT"/>
        </w:rPr>
      </w:pPr>
      <w:r>
        <w:rPr>
          <w:rFonts w:ascii="Times New Roman" w:hAnsi="Times New Roman" w:eastAsia="Times New Roman" w:cs="Times New Roman"/>
          <w:sz w:val="24"/>
          <w:szCs w:val="24"/>
          <w:lang w:val="lt-LT"/>
        </w:rPr>
        <w:t xml:space="preserve">Siekiant optimizuoti pradinių klasių mokinių mokymosi krūvį, su klasės bendruomenės gyvenimu, socialiniu ir emociniu ugdymu susijusios temos pagal turinį gali būti integruojamos į dorinio ugdymo, visuomeninio ugdymo ir kitų dalykų pamokas, nepažeidžiant bendrosiose programose nustatyto dalykų turinio įgyvendinimo.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52. Progimnazijos direktoriaus įsakymu mokinys gali būti atleidžiamas nuo dalies dalyko pamokų lankymo, jeigu mokosi pagal neformaliojo vaikų švietimo ar formalųjį švietimą papildančio ugdymo programą (muzikos, dailės, menų, sporto ar kitą), kurios turinys yra artimas ar tapatus dalyko bendrosios programos turiniui. Nuo dalies dalyko pamokų lankymo teisės aktų nustatyta tvarka taip pat gali būti atleidžiamas mokinys, einamaisiais mokslo metais tapęs nacionalinės ar tarptautinės olimpiados ar konkurso prizinės vietos laimėtoju.</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52.1</w:t>
      </w:r>
      <w:r>
        <w:rPr>
          <w:rFonts w:ascii="Times New Roman" w:hAnsi="Times New Roman" w:eastAsia="Times New Roman" w:cs="Times New Roman"/>
          <w:sz w:val="24"/>
          <w:szCs w:val="24"/>
          <w:lang w:val="lt-LT"/>
        </w:rPr>
        <w:t>. tėvai (globėjai, rūpintojai) rugsėjo 1–15 d. (visiems mokslo metams) arba sausio 1–15 d. (II pusmečiui) Progimnazijos direktoriui pateikia: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52.1.1.  prašymą dėl atleidimo, nurodydami dalyko pavadinimą, nuo kurio dalyko dalies pamokų pageidaujama atleisti mokinį bei priežastį;</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 xml:space="preserve">52.1.2. </w:t>
      </w:r>
      <w:r>
        <w:rPr>
          <w:rFonts w:ascii="Times New Roman" w:hAnsi="Times New Roman" w:eastAsia="Times New Roman" w:cs="Times New Roman"/>
          <w:color w:val="000000"/>
          <w:sz w:val="24"/>
          <w:szCs w:val="24"/>
          <w:lang w:val="lt-LT"/>
        </w:rPr>
        <w:t xml:space="preserve">neformaliojo vaikų švietimo programą (arba prašyme pateikia jos nuorodą); </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52.1.3. sporto pratybų organizatoriaus išduotą pažymą, kurioje nurodomas mokinio sporto pratybų dažnumas per savaitę, jei mokinys lanko aukšto sportinio meistriškumo pratybas ne rečiau kaip 3 kartus per savaitę, taip pat informacija apie dalyvavimą varžybose, jei mokinys yra sporto šakos rinktinės narys, čempionatų ar kitų aukšto sportinio meistriškumo sporto varžybų dalyvis;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52.2. dalyko mokytojui patvirtinus, kad neformaliojo vaikų švietimo ar formalųjį švietimą papildančio ugdymo programos turinys atitinka dalyko bendrosios programos turinį arba sporto pratybos atitinka fizinio ugdymo pamokose ugdomas kompetencijas, Progimnazijos direktoriaus įsakymu mokinys atleidžiamas nuo dalies dalyko pamokų lankymo, numatant mokinio atsiskaitymo ir pasiekimų vertinimo būdus;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52.3. mokinys gali būti atleidžiamas nuo atitinkamų menų, sporto ar kitų sričių dalykų dalies pamokų tik tuo atveju, kai šios pamokos pagal tvarkaraštį yra pirmosios arba paskutinės, bet ne daugiau kaip nuo 50 proc. visų dalyko pamokų. Atleidimo nuo pamokų metu už mokinio saugumą atsako jo tėvai (globėjai, rūpintojai).</w:t>
      </w: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 53. Progimnazija vykdo mokinių mokymosi krūvio stebėseną. Atsakingas Progimnazijos direktoriaus pavaduotojas ugdymui organizuoja mokytojų bendradarbiavimą sprendžiant mokinių mokymosi krūvio optimizavimo klausimus, sudaro kiekvieno mėnesio atsiskaitomųjų darbų tvarkaraštį ir užtikrina, kad mokiniams per dieną būtų skiriamas ne daugiau kaip vienas atsiskaitomasis darbas, o per savaitę – ne daugiau kaip trys. Apie atsiskaitomąjį darbą mokiniai informuojami ne vėliau kaip prieš savaitę. Atsiskaitomieji rašto darbai po atostogų, švenčių dienų ir birželio mėnesį neskiriami. Kiekvieno mėnesio atsiskaitomųjų darbų tvarkaraštis skelbiamas Progimnazijos interneto svetainėje.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54. Namų darbai skiriami vadovaujantis Progimnazijos metodinės tarybos 2023 m. gegužės 18 d. protokolu Nr. 3 patvirtinta Namų darbų skyrimo tvarka ir jos papildymu, patvirtintu 2024 m. birželio 12 d. protokolu Nr. 2.</w:t>
      </w:r>
    </w:p>
    <w:p>
      <w:pPr>
        <w:tabs>
          <w:tab w:val="left" w:pos="1276"/>
        </w:tabs>
        <w:spacing w:after="0" w:line="240" w:lineRule="auto"/>
        <w:jc w:val="both"/>
        <w:rPr>
          <w:rFonts w:ascii="Times New Roman" w:hAnsi="Times New Roman" w:eastAsia="Times New Roman" w:cs="Times New Roman"/>
          <w:color w:val="FF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ŠEŠTASIS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MOKYMOSI PAGALBOS TEIKIMAS MOKINIUI</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tabs>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55. Progimnazijoje sudaromos sąlygos mokiniui mokytis tarpusavio pagarba grįstoje, psichologiškai ir fiziškai saugioje aplinkoje, laiku teikiant reikalingą mokymosi pagalbą. Mokymosi pagalba apima mokymosi sunkumų prevenciją, pagalbą sprendžiant kilusias problemas ir priemones mokymosi spragoms įveikti. Ugdymo procese mokymosi pagalba teikiama kiekvienam mokiniui, kuriam ji reikalinga, integruojant ją į mokymo(si) procesą ir organizuojant trumpalaikes ar ilgalaikes konsultacijas pagal nustatytą pagalbos poreikį.</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 Mokymosi pagalba teikiama, kai: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56.1.</w:t>
      </w:r>
      <w:r>
        <w:rPr>
          <w:rFonts w:ascii="Times New Roman" w:hAnsi="Times New Roman" w:eastAsia="Times New Roman" w:cs="Times New Roman"/>
          <w:sz w:val="24"/>
          <w:szCs w:val="24"/>
          <w:lang w:val="lt-LT"/>
        </w:rPr>
        <w:t xml:space="preserve"> mokinys, įgijęs pradinį išsilavinimą ir 2025–2026 mokslo metais nacionaliniame mokinių pasiekimų patikrinime nepasiekęs vertinto dalyko slenkstinio pasiekimų lygio. Tokiam mokiniui sudaromas individualių mokymosi pasiekimų gerinimo planas ir skiriama reikalinga mokymosi pagalba: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56.1.1. kai mokinys 2025–2026 m. m. Pasiekimų patikrinimų metu nepasiekė kelių vertintų dalykų slenkstinio mokymosi pasiekimų lygio, reikalinga mokymosi pagalba skiriama kiekvienam dalykui atskirai;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56.1.2. prieš pradėdamas teikti konsultacijas mokytojas susipažįsta su mokinio Pasiekimų patikrinimo rezultatais ir, aptaręs su mokiniu jo mokymosi spragas, parengia individualių mokymosi pasiekimų gerinimo planą, kuriame numato konsultacijų skaičių, temas, trukmę, mokiniui skirtas užduotis ir jų vertinimą;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56.1.3.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Progimnazija informuoja tėvus (globėjus, rūpintojus). Mokinio praleistos konsultacijos nėra kompensuojamos;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56.2. mokinys dėl ligos ar kitų priežasčių praleido dalį pamokų;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56.3. mokinio pasiekimų lygis žemesnis nei numatyta Bendrosiose ugdymo programose, ir mokinys nedaro pažangos;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56.4. atsiskaitomosios ar kitos užduotys įvertinamos nepatenkinamai;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56.5. mokinio pasiekimai yra aukščiausio lygmens ir jis siekia domėtis pasirinkta mokymosi kryptimi;</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56.6. kitais mokymosi pagalbos poreikio atvejais.</w:t>
      </w: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57.  Mokymosi pagalbai teikti naudojamos pamokos, skirtos mokinių ugdymosi poreikiams tenkinti. Įvertinus mokinių poreikius ir atsižvelgus į Progimnazijos iškeltus ugdymo prioritetus bei spręstinas ugdymo problemas, valandos skiriamos: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57.1. ilgalaikėms konsultacijoms mokiniams: </w:t>
      </w:r>
    </w:p>
    <w:p>
      <w:pPr>
        <w:tabs>
          <w:tab w:val="left" w:pos="1276"/>
        </w:tabs>
        <w:spacing w:after="0" w:line="240" w:lineRule="auto"/>
        <w:ind w:firstLine="709"/>
        <w:jc w:val="both"/>
        <w:rPr>
          <w:rFonts w:ascii="Times New Roman" w:hAnsi="Times New Roman" w:eastAsia="Times New Roman" w:cs="Times New Roman"/>
          <w:sz w:val="20"/>
          <w:szCs w:val="20"/>
          <w:lang w:val="lt-LT"/>
        </w:rPr>
      </w:pPr>
      <w:bookmarkStart w:id="0" w:name="_heading=h.3fggchlt5rqo" w:colFirst="0" w:colLast="0"/>
      <w:bookmarkEnd w:id="0"/>
      <w:r>
        <w:rPr>
          <w:rFonts w:ascii="Times New Roman" w:hAnsi="Times New Roman" w:eastAsia="Times New Roman" w:cs="Times New Roman"/>
          <w:sz w:val="24"/>
          <w:szCs w:val="24"/>
          <w:lang w:val="lt-LT"/>
        </w:rPr>
        <w:t>57.1.1. kurių pasiekimai yra aukščiausi: 5 klasėse – matematikai, lietuvių kalbai ir literatūrai, užsienio kalbai (anglų), istorijai, informatikai, 6 klasėse – istorijai, lietuvių kalbai ir literatūrai, užsienio kalbai (anglų), matematikai, 7 klasėse – lietuvių kalbai ir literatūrai, užsienio kalbai (anglų), biologijai, fizikai, matematikai ir geografijai, 8 klasėse – lietuvių kalbai ir literatūrai, istorijai, fizikai, užsienio kalbai (anglų), biologijai, chemijai ir geografijai;</w:t>
      </w:r>
    </w:p>
    <w:p>
      <w:pPr>
        <w:tabs>
          <w:tab w:val="left" w:pos="1276"/>
        </w:tabs>
        <w:spacing w:after="0" w:line="240" w:lineRule="auto"/>
        <w:ind w:firstLine="709"/>
        <w:jc w:val="both"/>
        <w:rPr>
          <w:rFonts w:ascii="Times New Roman" w:hAnsi="Times New Roman" w:eastAsia="Times New Roman" w:cs="Times New Roman"/>
          <w:sz w:val="24"/>
          <w:szCs w:val="24"/>
          <w:lang w:val="lt-LT"/>
        </w:rPr>
      </w:pPr>
      <w:bookmarkStart w:id="1" w:name="_heading=h.orq4pp5hhf7f" w:colFirst="0" w:colLast="0"/>
      <w:bookmarkEnd w:id="1"/>
      <w:r>
        <w:rPr>
          <w:rFonts w:ascii="Times New Roman" w:hAnsi="Times New Roman" w:eastAsia="Times New Roman" w:cs="Times New Roman"/>
          <w:sz w:val="24"/>
          <w:szCs w:val="24"/>
          <w:lang w:val="lt-LT"/>
        </w:rPr>
        <w:t xml:space="preserve">57.1.2. turintiems mokymosi sunkumų: 5 klasėse – lietuvių kalbai ir literatūrai, užsienio kalbai (anglų) ir matematikai, 6 klasėse – lietuvių kalbai ir literatūrai, užsienio kalbai (anglų), matematikai ir informatikai, 7 klasėse – lietuvių kalbai ir literatūrai, užsienio kalbai (anglų), matematikai, 8 klasėse – lietuvių kalbai ir literatūrai, užsienio kalbai (anglų) ir rusų tautinės mažumos gimtajai kalbai.  </w:t>
      </w:r>
    </w:p>
    <w:p>
      <w:pPr>
        <w:tabs>
          <w:tab w:val="left" w:pos="1276"/>
        </w:tabs>
        <w:spacing w:after="0" w:line="240" w:lineRule="auto"/>
        <w:ind w:firstLine="709"/>
        <w:jc w:val="both"/>
        <w:rPr>
          <w:rFonts w:ascii="Times New Roman" w:hAnsi="Times New Roman" w:eastAsia="Times New Roman" w:cs="Times New Roman"/>
          <w:sz w:val="20"/>
          <w:szCs w:val="20"/>
          <w:lang w:val="lt-LT"/>
        </w:rPr>
      </w:pPr>
      <w:bookmarkStart w:id="2" w:name="_heading=h.4qpd9smaelfx" w:colFirst="0" w:colLast="0"/>
      <w:bookmarkEnd w:id="2"/>
      <w:r>
        <w:rPr>
          <w:rFonts w:ascii="Times New Roman" w:hAnsi="Times New Roman" w:eastAsia="Times New Roman" w:cs="Times New Roman"/>
          <w:sz w:val="24"/>
          <w:szCs w:val="24"/>
          <w:lang w:val="lt-LT"/>
        </w:rPr>
        <w:t>58. Konsultacijos gali būti organizuojamos tos pačios klasės ar skirtingų klasių panašaus amžiaus mokinių grupėms. Mokinius gali konsultuoti juos mokantis arba kitas Progimnazijoje tą patį dalyką mokantis mokytojas. Esant poreikiui ir suderinus su mokinių tėvais (globėjais, rūpintojais), konsultacijos gali būti organizuojamos nuotoliniu būdu naudojant „Microsoft Teams“ platformą. Trumpalaikės konsultacijos gali būti organizuojamos intensyviai, 2–3 kartus per savaitę, jų trukmė gali būti trumpesnė už pamokos trukmę.</w:t>
      </w:r>
    </w:p>
    <w:p>
      <w:pPr>
        <w:tabs>
          <w:tab w:val="left" w:pos="993"/>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59. Siekiant kiekvieno mokinio mokymosi sėkmės, ugdymas organizuojamas atsižvelgiant į mokinių individualius gebėjimus, mokymosi tempą, patirtį ir ugdymosi poreikius. Taikomas laikinas mokinių grupavimas pagal mokymosi poreikius, diferencijavimas, individualizavimas ir suasmeninimas. Mokiniai gali būti grupuojami pagal panašius mokymosi poreikius, taip pat skatinamas mokinių bendradarbiavimas ir tarpusavio pagalba. Bendras diferencijavimo, individualizavimo ir suasmeninimo tikslas – sudaryti kiekvienam mokiniui palankias sąlygas mokytis pagal savo galias ir siekti individualios pažangos: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59.1. diferencijavimas – ugdymo (mokymosi uždavinių, užduočių, ugdymo turinio metodų, priemonių, mokymo(si) tempo, aplinkos) pritaikymas mokinių grupei;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59.2. individualizavimas remiasi kiekvieno mokinio asmenybės formavimo(si) ypatumais ir yra orientuotas į konkretaus mokinio ugdymosi poreikių tenkinimą; </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59.3. suasmeninimas – ugdymas, kai mokymas(is) pritaikomas pagal mokinio pasirinkimus ir specifinius poreikius ir yra sietinas su mokinio noru ir gebėjimu suvokti bei tobulinti savo mokymąsi: aiškintis klydimo priežastis (ko konkrečiai nežino, nesupranta, neįvertina, ką turėtų daryti, kad žinotų, suprastų, įvertintų).</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60. Mokiniai, neturintys tinkamų sąlygų namų darbams atlikti namuose, gali juos atlikti Progimnazijos bibliotekoje ar kitose tam pritaikytose erdvėse, o 1–4 klasių mokiniai – ir Progimnazijos direktoriaus įsakymu sudarytose pailgintos dienos grupėse.</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61. Už mokymosi pagalbos teikimo organizavimą atsakingi Progimnazijos direktoriaus pavaduotojai ugdymui pagal kuruojamus dalykus ir klasių koncentrus.</w:t>
      </w:r>
    </w:p>
    <w:p>
      <w:pPr>
        <w:tabs>
          <w:tab w:val="left" w:pos="1276"/>
        </w:tabs>
        <w:spacing w:after="0" w:line="240" w:lineRule="auto"/>
        <w:jc w:val="both"/>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SEPTINTASIS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ATVYKUSIŲ AR GRĮŽUSIŲ IŠ UŽSIENIO MOKINIŲ UGDYMO ORGANIZAVIMAS</w:t>
      </w:r>
    </w:p>
    <w:p>
      <w:pPr>
        <w:tabs>
          <w:tab w:val="left" w:pos="1276"/>
        </w:tabs>
        <w:spacing w:after="0" w:line="240" w:lineRule="auto"/>
        <w:jc w:val="center"/>
        <w:rPr>
          <w:rFonts w:ascii="Times New Roman" w:hAnsi="Times New Roman" w:eastAsia="Times New Roman" w:cs="Times New Roman"/>
          <w:b/>
          <w:bCs/>
          <w:sz w:val="24"/>
          <w:szCs w:val="24"/>
          <w:lang w:val="lt-LT"/>
        </w:rPr>
      </w:pP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62. Progimnazija, organizuodama užsieniečių ar atvykusių bei grįžusių Lietuvos Respublikos piliečių ugdymą, vadovaujasi 2022 m. Nacionalinės švietimo agentūros Grįžusių Lietuvos Respublikos piliečių ir atvykusių užsieniečių ugdymo organizavimo modelių aprašu, Lietuvos Respublikos švietimo, mokslo ir sporto ministerijos 2023 m. birželio 5 d. aplinkraštyje Nr. SR-2180 išdėstytomis rekomendacijomis bei Klaipėdos uostamiesčio progimnazijos direktoriaus 2023 m. rugsėjo 28 d. įsakymu Nr. V1-110 patvirtintu Progimnazijos mokinių, grįžusių ar atvykusių iš užsienio, priėmimo ir ugdymo organizavimo tvarkos aprašu.</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63. Progimnazija, priimdama mokytis pagal pradinio ar pagrindinio ugdymo programą asmenis, turinčius teisę nuolat ar laikinai gyventi Lietuvos Respublikoje (toliau – užsieniečiai), Lietuvos Respublikos piliečius, atvykusius ar grįžusius gyventi ir dirbti Lietuvos Respublikoje (toliau – grįžę ar atvykę Lietuvos piliečiai), vadovaujasi Nuosekliojo mokymosi pagal bendrojo ugdymo programas tvarkos aprašu ir Bendrųjų ugdymo planų nuostatomis.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64. Atsakingas Progimnazijos direktoriaus pavaduotojas ugdymui informuoja Klaipėdos savivaldybės administracijos Ugdymo ir kultūros departamento Švietimo skyrių apie atvykusį mokytis užsienio valstybės pilietį.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 Kartu su tėvais (globėjais, rūpintojais):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65.1. aptariamas: preliminarus mokinio adaptacijos laikotarpis. Adaptacijos laikotarpiu stebima mokinio individuali pažanga, pasiekimai. Klasės vadovas padeda atvykusiam mokiniui sklandžiai įsitraukti į Progimnazijos bendruomenės gyvenimą, mokytis ir ugdytis. Adaptacinio periodo metu mokytojai stebi mokinio individualią pažangą, aptaria su mokiniu ir jo tėvais (globėjais, rūpintojais) tolesnio mokymosi perspektyvą;</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65.2. </w:t>
      </w:r>
      <w:r>
        <w:rPr>
          <w:rFonts w:ascii="Times New Roman" w:hAnsi="Times New Roman" w:eastAsia="Times New Roman" w:cs="Times New Roman"/>
          <w:sz w:val="24"/>
          <w:szCs w:val="24"/>
          <w:lang w:val="lt-LT"/>
        </w:rPr>
        <w:t>sudaromas individualus ugdymosi planas, kuriame numatomi: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65.2.1. lietuvių kalbos mokymosi tikslai, mokymosi būdai, intensyvumas, papildomų konsultacijų forma;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65.2.2. bendrojo ugdymo dalykų mokymosi įgyvendinimas pagal Pradinio ir pagrindinio ugdymo bendrąsias programas;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65.2.3. pasiekimų vertinimas, grįžtamojo ryšio teikimo formos, mokymosi pagalbos galimybės.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66. Pasibaigus adaptacijos laikotarpiui, </w:t>
      </w:r>
      <w:r>
        <w:rPr>
          <w:rFonts w:ascii="Times New Roman" w:hAnsi="Times New Roman" w:eastAsia="Times New Roman" w:cs="Times New Roman"/>
          <w:sz w:val="24"/>
          <w:szCs w:val="24"/>
          <w:lang w:val="lt-LT"/>
        </w:rPr>
        <w:t xml:space="preserve">Progimnazijos psichologas atlieka mokinio adaptacijos tyrimą, kurio rezultatai aptariami Vaiko gerovės komisijoje. </w:t>
      </w:r>
      <w:r>
        <w:rPr>
          <w:rFonts w:ascii="Times New Roman" w:hAnsi="Times New Roman" w:eastAsia="Times New Roman" w:cs="Times New Roman"/>
          <w:color w:val="000000"/>
          <w:sz w:val="24"/>
          <w:szCs w:val="24"/>
          <w:lang w:val="lt-LT"/>
        </w:rPr>
        <w:t xml:space="preserve">Įvertinamas jo pasirengimas toliau mokytis su bendraamžiais mokinio amžių atitinkančioje klasėje arba, identifikavus didesnius mokymosi skirtumus, mokiniui gali būti siūloma mokytis metais žemesnėje klasėje. </w:t>
      </w:r>
      <w:r>
        <w:rPr>
          <w:rFonts w:ascii="Times New Roman" w:hAnsi="Times New Roman" w:eastAsia="Times New Roman" w:cs="Times New Roman"/>
          <w:sz w:val="24"/>
          <w:szCs w:val="24"/>
          <w:lang w:val="lt-LT"/>
        </w:rPr>
        <w:t>Kylant sunkumų mokantis, mokinio adaptacijos laikotarpis gali būti pratęstas.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 Siekdama, kad užsieniečiai, grįžę ar atvykę Lietuvos piliečiai įgytų pakankamų lietuvių kalbos gebėjimų ir kompetencijų, būtinų mokytis Lietuvos bendrojo ugdymo mokyklose ir sėkmingai kalbinei ir kultūrinei integracijai, Progimnazija užtikrina lietuvių kalbos mokymąsi:</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67.1. 1–4 klasių mokiniai mokomi lietuvių kalbos ir literatūros dalyko kartu su bendraklasiais, taikant pastoliavimo praktiką, padedančią mokiniui įveikti kliūtis mokymosi procese;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67.2. 5–8 klasių mokiniams lietuvių kalbai mokyti skiriama ne mažiau pamokų nei numatyta mokantis pagal Lietuvių kalbos ir literatūros bendrąją</w:t>
      </w:r>
      <w:r>
        <w:rPr>
          <w:rFonts w:ascii="Times New Roman" w:hAnsi="Times New Roman" w:eastAsia="Times New Roman" w:cs="Times New Roman"/>
          <w:b/>
          <w:bCs/>
          <w:sz w:val="24"/>
          <w:szCs w:val="24"/>
          <w:lang w:val="lt-LT"/>
        </w:rPr>
        <w:t xml:space="preserve"> </w:t>
      </w:r>
      <w:r>
        <w:rPr>
          <w:rFonts w:ascii="Times New Roman" w:hAnsi="Times New Roman" w:eastAsia="Times New Roman" w:cs="Times New Roman"/>
          <w:sz w:val="24"/>
          <w:szCs w:val="24"/>
          <w:lang w:val="lt-LT"/>
        </w:rPr>
        <w:t xml:space="preserve">programą. Taip pat organizuojamos papildomos individualios ar grupinės konsultacijos (skiriama 1 pamoka per savaitę) lietuvių kalbos gebėjimams įtvirtinti ir plėtoti. Grupės sudaromos iš tais pačiais metais atvykusių 5−8 klasių mokinių;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67.3. mokiniui atvykus iš užsienio įpusėjus ugdymo procesui, gali būti skirtos individualios lietuvių kalbos konsultacijos;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67.4. papildomai lietuvių kalbos mokomasi iki vienerių metų (</w:t>
      </w:r>
      <w:r>
        <w:rPr>
          <w:rFonts w:ascii="Times New Roman" w:hAnsi="Times New Roman" w:eastAsia="Times New Roman" w:cs="Times New Roman"/>
          <w:color w:val="000000"/>
          <w:sz w:val="24"/>
          <w:szCs w:val="24"/>
          <w:lang w:val="lt-LT"/>
        </w:rPr>
        <w:t>arba tol, kol mokinio lietuvių kalbos gebėjimai bus pakankami mokytis pagal Lietuvių kalbos ir literatūros bendrąją programą bendrosios paskirties klasėje</w:t>
      </w:r>
      <w:r>
        <w:rPr>
          <w:rFonts w:ascii="Times New Roman" w:hAnsi="Times New Roman" w:eastAsia="Times New Roman" w:cs="Times New Roman"/>
          <w:sz w:val="24"/>
          <w:szCs w:val="24"/>
          <w:lang w:val="lt-LT"/>
        </w:rPr>
        <w:t>).</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68. Mokantis bendrojo ugdymo dalykų, mokymas individualizuojamas ir diferencijuojamas, atsižvelgiant į ankstesnę dalyko mokymosi patirtį ir kalbos mokėjimo lygį. Ugdymo programų skirtumams pašalinti gali būti siūlomos mokytojų konsultacijos ir individualios veiklos.</w:t>
      </w:r>
    </w:p>
    <w:p>
      <w:pPr>
        <w:spacing w:after="0" w:line="240" w:lineRule="auto"/>
        <w:ind w:firstLine="709"/>
        <w:jc w:val="both"/>
        <w:rPr>
          <w:rFonts w:ascii="Times New Roman" w:hAnsi="Times New Roman" w:eastAsia="Times New Roman" w:cs="Times New Roman"/>
          <w:b/>
          <w:bCs/>
          <w:color w:val="000000"/>
          <w:sz w:val="24"/>
          <w:szCs w:val="24"/>
          <w:lang w:val="lt-LT"/>
        </w:rPr>
      </w:pPr>
      <w:r>
        <w:rPr>
          <w:rFonts w:ascii="Times New Roman" w:hAnsi="Times New Roman" w:eastAsia="Times New Roman" w:cs="Times New Roman"/>
          <w:sz w:val="24"/>
          <w:szCs w:val="24"/>
          <w:lang w:val="lt-LT"/>
        </w:rPr>
        <w:t>69. Užsieniečių, grįžusių ar atvykusių Lietuvos Respublikos piliečių mokymosi pažanga vertinama formuojamuoju būdu, ugdymosi pasiekimai − vadovaujantis Ugdymo plano nuostatomis.</w:t>
      </w:r>
    </w:p>
    <w:p>
      <w:pPr>
        <w:tabs>
          <w:tab w:val="left" w:pos="1276"/>
        </w:tabs>
        <w:spacing w:after="0" w:line="240" w:lineRule="auto"/>
        <w:jc w:val="center"/>
        <w:rPr>
          <w:rFonts w:ascii="Times New Roman" w:hAnsi="Times New Roman" w:eastAsia="Times New Roman" w:cs="Times New Roman"/>
          <w:b/>
          <w:bCs/>
          <w:color w:val="00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color w:val="000000"/>
          <w:sz w:val="24"/>
          <w:szCs w:val="24"/>
          <w:lang w:val="lt-LT"/>
        </w:rPr>
        <w:t>AŠTUNTASIS SKIRSNIS</w:t>
      </w:r>
    </w:p>
    <w:p>
      <w:pPr>
        <w:tabs>
          <w:tab w:val="left" w:pos="1276"/>
        </w:tabs>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LAIKINŲJŲ GRUPIŲ SUDARYMAS</w:t>
      </w:r>
    </w:p>
    <w:p>
      <w:pPr>
        <w:tabs>
          <w:tab w:val="left" w:pos="1276"/>
        </w:tabs>
        <w:spacing w:after="0" w:line="240" w:lineRule="auto"/>
        <w:jc w:val="both"/>
        <w:rPr>
          <w:rFonts w:ascii="Times New Roman" w:hAnsi="Times New Roman" w:eastAsia="Times New Roman" w:cs="Times New Roman"/>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 xml:space="preserve">70.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Įgyvendinant Bendrąsias programas ir atsižvelgiant į Progimnazijai skirtas mokymo lėšas, mokinių ugdymosi poreikiams tenkinti sudaromos laikinosios mokymosi grupės. Mokinių priskyrimas grupei yra laikinas – tam tikro dalyko pamokoms, konkrečioms ugdymo veikloms ar užduotims atlikti. Laikinojo mokinių grupavimo principai aptariami su mokinių tėvais (globėjais, rūpintojais).</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71. Progimnazijoje nustatytas minimalus mokinių skaičius laikinojoje mokymosi grupėje – 9 mokiniai 1–4 klasėse ir 10 mokinių 5–8 klasėse, išskyrus dorinio ugdymo ir iš užsienio atvykusių ar grįžusių mokinių lietuvių kalbos mokymosi grupes.</w:t>
      </w:r>
    </w:p>
    <w:p>
      <w:pPr>
        <w:tabs>
          <w:tab w:val="left" w:pos="709"/>
        </w:tabs>
        <w:spacing w:after="0" w:line="240" w:lineRule="auto"/>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72. Laikinosios grupės sudarytos: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72.1. doriniam ugdymui, jeigu tos pačios klasės mokiniai yra pasirinkę ir tikybą, ir etiką. Minimalus mokinių skaičius dorinio ugdymo laikinojoje grupėje – 7 mokiniai. Nesant klasėje nustatyto minimalaus mokinių skaičiaus, dorinio ugdymo (tikybos ar etikos) laikinoji grupė sudaroma iš paralelių klasių mokinių;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72.2. lietuvių kalbai ir literatūrai mokyti 1–4 klasėse, jei klasėje mokosi ne mažiau kaip 18 mokinių, 5−8 klasėse – 21 mokinys; </w:t>
      </w:r>
    </w:p>
    <w:p>
      <w:pPr>
        <w:tabs>
          <w:tab w:val="left" w:pos="709"/>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72.3.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užsienio kalboms mokyti 2−4 klasėse, jei klasėje mokosi ne mažiau kaip 20 mokinių, 5−8 klasėse – 21 mokinys;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72.4.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informatikai mokyti 5–8 klasėse, atsižvelgus į darbo vietų informatikos kabinetuose skaičių, nustatytą higienos normoje;</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72.5. technologijoms mokyti, grupes sudarant nepriklausomai nuo mokinių lyties;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72.6. fiziniam ugdymui 5–8 klasėse mokiniai į atskiras mergaičių ir berniukų grupes nedalijami;</w:t>
      </w:r>
    </w:p>
    <w:p>
      <w:pPr>
        <w:tabs>
          <w:tab w:val="left" w:pos="1276"/>
        </w:tabs>
        <w:spacing w:after="0" w:line="240" w:lineRule="auto"/>
        <w:ind w:firstLine="720" w:firstLineChars="300"/>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72.7. diferencijuotam dalyko mokymui. Diferencijavimas taikomas individualiai mokiniui, atsižvelgiant į jo ugdymosi poreikius ir gebėjimus bei pritaikant mokymo(si) metodus, užduotis, mokomąją medžiagą, mokymosi tempą ir pasiekimų vertinimo būdus, arba mokinių grupei – siekiant mažinti pasiekimų skirtumus ir plėtoti mokinių gabumus, taikant įvairias mokymosi strategijas;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72.8. </w:t>
      </w:r>
      <w:r>
        <w:rPr>
          <w:rFonts w:ascii="Times New Roman" w:hAnsi="Times New Roman" w:eastAsia="Times New Roman" w:cs="Times New Roman"/>
          <w:sz w:val="24"/>
          <w:szCs w:val="24"/>
          <w:lang w:val="lt-LT"/>
        </w:rPr>
        <w:t>iš užsienio atvykusių ar grįžusių mokinių lietuvių kalbai mokytis;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72.9. mokymosi ir švietimo pagalbai teikti, konsultacijoms organizuoti bei dalykams mokyti, panaudojant mokinių ugdymosi poreikiams tenkinti ir mokymosi pasiekimams gerinti skirtas pamokas;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72.10.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kryptingam meniniam ugdymui (teatro programos vykdymui);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72.11. projektinei veiklai organizuoti.</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 Mokiniai į laikinąsias mokymosi grupes paskirstomi mokslo metų pradžioje. Mokslo metų eigoje, atsižvelgiant į mokinio ugdymosi poreikius ir mokinio tėvų (globėjų, rūpintojų) pageidavimą, mokinys gali būti perkeltas iš vienos laikinosios mokymosi grupės į kitą, nepažeidžiant Progimnazijoje nustatyto minimalaus mokinių skaičiaus grupėje.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73.1. dorinio ugdymo dalyko (etikos ar tikybos) pasirinkimą ir keitimą reglamentuoja Progimnazijos pradinio ir pagrindinio ugdymo programų dorinio ugdymo dalyko pasirinkimo ir keitimo tvarkos aprašas, patvirtintas Progimnazijos direktoriaus 2023 m. rugsėjo 1 d. įsakymu Nr. V1-104.</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73.2. iš vienos klasės į kitą klasę, nedidinant nustatyto maksimalaus mokinių skaičiaus klasėje; </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73.3. dorinio ugdymo dalyko (etikos, tikybos) pasirinkimą ir keitimą reglamentuoja Progimnazijos pradinio ir pagrindinio ugdymo (I dalies) programų dorinio ugdymo dalyko pasirinkimo ir keitimo tvarkos aprašas, patvirtintas Progimnazijos direktoriaus 2023 m. rugsėjo 1 d. įsakymu Nr. V1-104.</w:t>
      </w:r>
    </w:p>
    <w:p>
      <w:pPr>
        <w:tabs>
          <w:tab w:val="left" w:pos="1276"/>
        </w:tabs>
        <w:spacing w:after="0" w:line="240" w:lineRule="auto"/>
        <w:ind w:firstLine="709"/>
        <w:jc w:val="both"/>
        <w:rPr>
          <w:rFonts w:ascii="Times New Roman" w:hAnsi="Times New Roman" w:eastAsia="Times New Roman" w:cs="Times New Roman"/>
          <w:color w:val="FF0000"/>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DEVINTASIS SKIRSNIS</w:t>
      </w:r>
    </w:p>
    <w:p>
      <w:pPr>
        <w:spacing w:after="0" w:line="240" w:lineRule="auto"/>
        <w:ind w:firstLine="709"/>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MOKINIŲ UGDYMO NAMUOSE ORGANIZAVIMAS</w:t>
      </w:r>
    </w:p>
    <w:p>
      <w:pPr>
        <w:tabs>
          <w:tab w:val="left" w:pos="1276"/>
        </w:tabs>
        <w:spacing w:after="0" w:line="240" w:lineRule="auto"/>
        <w:ind w:firstLine="709"/>
        <w:jc w:val="center"/>
        <w:rPr>
          <w:rFonts w:ascii="Times New Roman" w:hAnsi="Times New Roman" w:eastAsia="Times New Roman" w:cs="Times New Roman"/>
          <w:b/>
          <w:bCs/>
          <w:sz w:val="24"/>
          <w:szCs w:val="24"/>
          <w:lang w:val="lt-LT"/>
        </w:rPr>
      </w:pP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 Mokinių, dėl ligos ar patologinės būklės negalinčių mokytis mokykloje, mokymas nam</w:t>
      </w:r>
      <w:r>
        <w:rPr>
          <w:rFonts w:ascii="Times New Roman" w:hAnsi="Times New Roman" w:eastAsia="Times New Roman" w:cs="Times New Roman"/>
          <w:strike/>
          <w:sz w:val="24"/>
          <w:szCs w:val="24"/>
          <w:lang w:val="lt-LT"/>
        </w:rPr>
        <w:t>ie</w:t>
      </w:r>
      <w:r>
        <w:rPr>
          <w:rFonts w:ascii="Times New Roman" w:hAnsi="Times New Roman" w:eastAsia="Times New Roman" w:cs="Times New Roman"/>
          <w:sz w:val="24"/>
          <w:szCs w:val="24"/>
          <w:lang w:val="lt-LT"/>
        </w:rPr>
        <w:t>uose organizuojamas vadovaujantis Mokinių mokymo stacionarinėje asmens sveikatos priežiūros įstaigoje ir namuose organizavimo tvarkos aprašu, patvirtintu Lietuvos Respublikos švietimo ir mokslo ministro 2012 m. rugsėjo 26 d. įsakymu Nr. V-1405 „Dėl Mokinių mokymo stacionarinėje asmens sveikatos priežiūros įstaigoje ir namuose organizavimo tvarkos aprašo patvirtinimo“ (Lietuvos Respublikos švietimo, mokslo ir sporto ministro 2020 m. liepos 24 d. įsakymo Nr. V-1102 redakcija), ir Mokymosi formų ir mokymo organizavimo tvarkos aprašu, patvirtintu Lietuvos Respublikos švietimo ir mokslo ministro 2012 m. birželio 28 d. įsakymu Nr. V-1049 „Dėl Mokymosi pagal formaliojo švietimo programas (išskyrus aukštojo mokslo studijų programas) formų ir mokymo organizavimo tvarkos aprašo patvirtinimo“ (Lietuvos Respublikos švietimo, mokslo ir sporto ministro 2020 m. liepos 31 d. įsakymo Nr. V-1133 redakcija).</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74.1. dėl mokymo namuose organizavimo mokinio tėvai (globėjai, rūpintojai) Progimnazijos direktoriui pateikia prašymą ir gydytojų konsultacinės komisijos pažymą dėl mokymo namie organizavimo;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74.2. mokiniai namuose mokomi savarankišku ar (ir) nuotoliniu mokymo proceso organizavimo būdu. Nuotoliniu mokymo proceso organizavimo būdu mokiniai gali būti mokomi tik pritarus gydytojų konsultacinei komisijai. Mokiniui, mokomam namie, Progimnazija, suderinusi su mokinio tėvais (globėjais, rūpintojais) ir atsižvelgdama į gydytojų konsultacinės komisijos rekomendacijas, parengia individualų ugdymo planą;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 Mokiniams, kurie mokosi namuose:</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 pagal Pradinio ugdymo programą bendroji programa įgyvendinama ugdymą organizuojant pagal dalykų bendrąsias programas arba jas integruojant į kitų dalykų turinį savarankišku ar (ir) nuotoliniu mokymo proceso organizavimo būdu, leidus gydytojui, pavienio ar grupinio mokymosi forma:</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75.1.1. 1–3 klasėse skiriama 315 pamokų per mokslo metus (9 pamokos per savaitę);</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75.1.2. 4 klasėje – 385 pamokos per mokslo metus (11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75.1.3. kiekvienoje klasėje skiriama 70 papildomų pamokų per mokslo metus (2 pamokos per savaitę) rusų tautinės mažumos gimtajai kalbai mokytis, kai mokinys mokosi mokykloje, kurios nuostatuose įteisintas mokymas tautinės mažumos kalba arba mokoma tautinių mažumų kalbos;</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75.2. pagal pagrindinio ugdymo programą savarankišku ar (ir) nuotoliniu mokymo proceso organizavimo būdu pavienio mokymosi forma:</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75.2.1. 5–6 klasėse skiriamos 432 pamokos per mokslo metus (12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75.2.2. 7–8 klasėse – 468 pamokos per mokslo metus (13 pamokų per savaitę); </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75.2.3. Progimnazijos sprendimu mokiniui, kuris mokosi namuose, gali būti skiriama iki 2 papildomų pamokų per savaitę mokymosi pasiekimams gerinti.</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76. Suderinus su mokinio tėvais (globėjais, rūpintojais), Progimnazijos direktoriaus įsakymu mokinys, kuris mokosi namie, gali nesimokyti meninio ugdymo dalykų, technologijų, fizinio ugdymo ir gyvenimo įgūdžių, gali neatlikti socialinės-pilietinės veiklos ir nedalyvauti nacionaliniuose mokinių pasiekimų patikrinimuose teisės aktų nustatytais atvejais. Elektroniniame dienyne ir mokinio individualiame ugdymo plane prie dalykų, kurių mokinys nesimoko, įrašoma „atleista“. Pamokos, gydytojo leidimu lankomos Progimnazijoje, įrašomos į mokinio individualų ugdymo planą.</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77. Pasibaigus pusmečiui, namie mokomo mokinio ugdymosi rezultatai aptariami Progimnazijos vaiko gerovės komisijos posėdyje, dalyvaujant mokinį mokantiems mokytojams ir mokinio tėvams (globėjams, rūpintojams).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78. Mokinys gali būti ugdomas (ugdytis) šeimoje, vadovaujantis Ugdymosi šeimoje įgyvendinimo tvarkos aprašu, patvirtintu Lietuvos Respublikos Vyriausybės 2020 m. gegužės 20 d. nutarimu Nr. 504 „Dėl Ugdymosi šeimoje įgyvendinimo tvarkos aprašo patvirtinimo“. Progimnazija mokinių ugdymo (ugdymosi) šeimoje neorganizuoja.</w:t>
      </w:r>
    </w:p>
    <w:p>
      <w:pPr>
        <w:tabs>
          <w:tab w:val="left" w:pos="1276"/>
        </w:tabs>
        <w:spacing w:after="0" w:line="240" w:lineRule="auto"/>
        <w:jc w:val="center"/>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DEŠIMTASIS SKIRSNIS</w:t>
      </w:r>
    </w:p>
    <w:p>
      <w:pPr>
        <w:spacing w:after="0" w:line="240" w:lineRule="auto"/>
        <w:jc w:val="cente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t>UGDYMO ORGANIZAVIMAS GRUPINE MOKYMOSI FORMA NUOTOLINIU MOKYMO PROCESO ORGANIZAVIMO BŪDU</w:t>
      </w:r>
    </w:p>
    <w:p>
      <w:pPr>
        <w:spacing w:after="0" w:line="240" w:lineRule="auto"/>
        <w:jc w:val="center"/>
        <w:rPr>
          <w:rFonts w:ascii="Times New Roman" w:hAnsi="Times New Roman" w:eastAsia="Times New Roman" w:cs="Times New Roman"/>
          <w:b/>
          <w:bCs/>
          <w:sz w:val="24"/>
          <w:szCs w:val="24"/>
          <w:lang w:val="lt-LT"/>
        </w:rPr>
      </w:pP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79. Progimnazijos nuostatuose įteisintas nuotolinio mokymo proceso organizavimo būdas. 5–8 klasių mokiniams dalis ugdymo proceso Progimnazijos ugdymo plane nustatytais atvejais organizuojama nuotoliniu mokymo proceso organizavimo būdu.</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80. Progimnazija, organizuodama ugdymo procesą nuotoliniu mokymo proceso organizavimo būdu, vadovaujasi Mokymo nuotoliniu ugdymo proceso organizavimo būdu kriterijų aprašu, patvirtintu Lietuvos Respublikos švietimo, mokslo ir sporto ministro 2020 m. liepos 2 d. įsakymu Nr. V-1006 „Dėl Mokymo nuotoliniu ugdymo proceso organizavimo būdu kriterijų aprašo patvirtinimo“.</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 Nuotoliniu mokymo proceso organizavimo būdu prireikus gali būti organizuojama:</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81.1. vieno ar kelių dalykų mokymas, kai dėl objektyvių priežasčių nėra galimybės jų mokyti kasdieniu mokymo proceso organizavimo būdu grupine mokymosi forma;</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81.2. konsultacijos, atsižvelgiant į konkrečią Progimnazijos situaciją;</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81.3. kitos Progimnazijos organizuojamos veiklos.</w:t>
      </w:r>
    </w:p>
    <w:p>
      <w:pPr>
        <w:tabs>
          <w:tab w:val="left" w:pos="993"/>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82. Siekiant tobulinti mokinių skaitmeninį raštingumą ir gebėjimą mokytis nuotoliniu būdu, 5–8 klasių mokiniams per mokslo metus skiriamos 4 ugdymosi dienos, kuriomis ugdymo procesas organizuojamas nuotoliniu mokymo proceso organizavimo būdu:</w:t>
      </w:r>
    </w:p>
    <w:tbl>
      <w:tblPr>
        <w:tblStyle w:val="23"/>
        <w:tblW w:w="9629" w:type="dxa"/>
        <w:tblInd w:w="0" w:type="dxa"/>
        <w:tblLayout w:type="fixed"/>
        <w:tblCellMar>
          <w:top w:w="0" w:type="dxa"/>
          <w:left w:w="108" w:type="dxa"/>
          <w:bottom w:w="0" w:type="dxa"/>
          <w:right w:w="108" w:type="dxa"/>
        </w:tblCellMar>
      </w:tblPr>
      <w:tblGrid>
        <w:gridCol w:w="1858"/>
        <w:gridCol w:w="1558"/>
        <w:gridCol w:w="3089"/>
        <w:gridCol w:w="3124"/>
      </w:tblGrid>
      <w:tr>
        <w:tblPrEx>
          <w:tblLayout w:type="fixed"/>
          <w:tblCellMar>
            <w:top w:w="0" w:type="dxa"/>
            <w:left w:w="108" w:type="dxa"/>
            <w:bottom w:w="0" w:type="dxa"/>
            <w:right w:w="108" w:type="dxa"/>
          </w:tblCellMar>
        </w:tblPrEx>
        <w:trPr>
          <w:trHeight w:val="660" w:hRule="atLeast"/>
        </w:trPr>
        <w:tc>
          <w:tcPr>
            <w:tcW w:w="3416"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Laikotarpis</w:t>
            </w:r>
          </w:p>
        </w:tc>
        <w:tc>
          <w:tcPr>
            <w:tcW w:w="308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Dienų, skirtų  mokymui organizuoti nuotoliniu mokymo proceso organizavimo būdu, skaičius</w:t>
            </w:r>
          </w:p>
        </w:tc>
        <w:tc>
          <w:tcPr>
            <w:tcW w:w="312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Nuotolinio mokymo vykdytojai</w:t>
            </w:r>
          </w:p>
        </w:tc>
      </w:tr>
      <w:tr>
        <w:tblPrEx>
          <w:tblLayout w:type="fixed"/>
          <w:tblCellMar>
            <w:top w:w="0" w:type="dxa"/>
            <w:left w:w="108" w:type="dxa"/>
            <w:bottom w:w="0" w:type="dxa"/>
            <w:right w:w="108" w:type="dxa"/>
          </w:tblCellMar>
        </w:tblPrEx>
        <w:trPr>
          <w:trHeight w:val="435"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Pradžia</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Pabaiga</w:t>
            </w:r>
          </w:p>
        </w:tc>
        <w:tc>
          <w:tcPr>
            <w:tcW w:w="3089"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color w:val="000000"/>
                <w:sz w:val="24"/>
                <w:szCs w:val="24"/>
                <w:lang w:val="lt-LT"/>
              </w:rPr>
            </w:pPr>
          </w:p>
        </w:tc>
        <w:tc>
          <w:tcPr>
            <w:tcW w:w="3124"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r>
        <w:tblPrEx>
          <w:tblLayout w:type="fixed"/>
          <w:tblCellMar>
            <w:top w:w="0" w:type="dxa"/>
            <w:left w:w="108" w:type="dxa"/>
            <w:bottom w:w="0" w:type="dxa"/>
            <w:right w:w="108" w:type="dxa"/>
          </w:tblCellMar>
        </w:tblPrEx>
        <w:trPr>
          <w:trHeight w:val="368"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2027-02-11 </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2027-02-12 </w:t>
            </w: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2 </w:t>
            </w:r>
          </w:p>
        </w:tc>
        <w:tc>
          <w:tcPr>
            <w:tcW w:w="3124" w:type="dxa"/>
            <w:vMerge w:val="restart"/>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5–8 klasių dalykų mokytojai</w:t>
            </w:r>
          </w:p>
        </w:tc>
      </w:tr>
      <w:tr>
        <w:tblPrEx>
          <w:tblLayout w:type="fixed"/>
          <w:tblCellMar>
            <w:top w:w="0" w:type="dxa"/>
            <w:left w:w="108" w:type="dxa"/>
            <w:bottom w:w="0" w:type="dxa"/>
            <w:right w:w="108" w:type="dxa"/>
          </w:tblCellMar>
        </w:tblPrEx>
        <w:trPr>
          <w:trHeight w:val="510" w:hRule="atLeast"/>
        </w:trPr>
        <w:tc>
          <w:tcPr>
            <w:tcW w:w="18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2027-03-18</w:t>
            </w:r>
          </w:p>
        </w:tc>
        <w:tc>
          <w:tcPr>
            <w:tcW w:w="15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2027-03-19</w:t>
            </w: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2</w:t>
            </w:r>
          </w:p>
        </w:tc>
        <w:tc>
          <w:tcPr>
            <w:tcW w:w="3124"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rPr>
                <w:rFonts w:ascii="Times New Roman" w:hAnsi="Times New Roman" w:eastAsia="Times New Roman" w:cs="Times New Roman"/>
                <w:color w:val="000000"/>
                <w:sz w:val="24"/>
                <w:szCs w:val="24"/>
                <w:lang w:val="lt-LT"/>
              </w:rPr>
            </w:pPr>
          </w:p>
        </w:tc>
      </w:tr>
    </w:tbl>
    <w:p>
      <w:pPr>
        <w:spacing w:after="0" w:line="252" w:lineRule="auto"/>
        <w:ind w:firstLine="709"/>
        <w:jc w:val="both"/>
        <w:rPr>
          <w:rFonts w:ascii="Times New Roman" w:hAnsi="Times New Roman" w:eastAsia="Times New Roman" w:cs="Times New Roman"/>
          <w:sz w:val="24"/>
          <w:szCs w:val="24"/>
          <w:lang w:val="lt-LT"/>
        </w:rPr>
      </w:pPr>
    </w:p>
    <w:p>
      <w:pPr>
        <w:tabs>
          <w:tab w:val="left" w:pos="851"/>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83. Vadovaujantis Lietuvos Respublikos švietimo, mokslo ir sporto ministro patvirtintu 2026–2027 mokslo metų valstybinių brandos egzaminų tvarkaraščiu, Progimnazijos direktoriaus įsakymu valstybinių brandos egzaminų vykdymo Progimnazijoje dienomis, kai nėra galimybės ugdymo proceso organizuoti kasdieniu mokymo proceso būdu, jis gali būti organizuojamas nuotoliniu mokymo proceso organizavimo būdu.</w:t>
      </w:r>
    </w:p>
    <w:p>
      <w:pPr>
        <w:tabs>
          <w:tab w:val="left" w:pos="851"/>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84. Nuotoliniam mokymui organizuoti Progimnazija naudoja „Microsoft Teams“ platformą. Prieš organizuojant ugdymo procesą nuotoliniu būdu, įvertinamos mokinių mokymosi sąlygos namuose ir turimos mokymosi priemonės, reikalingos dalyvauti nuotoliniame ugdymo procese. Progimnazija pagal galimybes aprūpina mokinius ugdymo procesui būtinais mokymosi ištekliais. Jei mokinio namuose nėra sąlygų mokytis, jam sudaromos sąlygos nuotoliniu mokymo proceso organizavimo būdu mokytis Progimnazijos patalpose.</w:t>
      </w:r>
    </w:p>
    <w:p>
      <w:pPr>
        <w:tabs>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85. Ugdymo procesas nuotoliniu mokymo proceso organizavimo būdu organizuojamas sinchroniniu ir asinchroniniu būdais. Sinchroninio ugdymo nepertraukiama trukmė – ne ilgesnė kaip 90 minučių. Organizuojant ugdymo procesą užtikrinamas ugdymo tęstinumas, mokinių mokymosi pažanga ir reikalingos mokymosi pagalbos teikimas.</w:t>
      </w:r>
    </w:p>
    <w:p>
      <w:pPr>
        <w:tabs>
          <w:tab w:val="left" w:pos="1134"/>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86. Pamokas organizuojant sinchroniniu būdu, pertraukų trukmė nustatoma sudarant sąlygas mokinių poilsiui, o viena iš pertraukų skiriama pietums. Prireikus pertvarkomas pamokų tvarkaraštis. Apie ugdymo proceso tvarkaraščio pakeitimus mokiniai ir jų tėvai (globėjai, rūpintojai) informuojami iš anksto.</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87. Progimnazijos nuostatuose įteisintas nuotolinio mokymo proceso organizavimo būdas. Progimnazijos ugdymo plane ir teisės aktuose nustatytais atvejais dalis ugdymo proceso gali būti organizuojama nuotoliniu mokymo proceso organizavimo būdu.    </w:t>
      </w:r>
    </w:p>
    <w:p>
      <w:pPr>
        <w:spacing w:after="0" w:line="252" w:lineRule="auto"/>
        <w:ind w:firstLine="709"/>
        <w:jc w:val="both"/>
        <w:rPr>
          <w:rFonts w:ascii="Times New Roman" w:hAnsi="Times New Roman" w:eastAsia="Times New Roman" w:cs="Times New Roman"/>
          <w:sz w:val="24"/>
          <w:szCs w:val="24"/>
          <w:lang w:val="lt-LT"/>
        </w:rPr>
      </w:pP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VIENUOLIKTASIS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MOKINIŲ, TURINČIŲ SPECIALIŲJŲ UGDYMOSI POREIKIŲ (IŠSKYRUS ATSIRANDANČIUS DĖL IŠSKIRTINIŲ GABUMŲ), UGDYMO ORGANIZAVIMAS</w:t>
      </w:r>
    </w:p>
    <w:p>
      <w:pPr>
        <w:tabs>
          <w:tab w:val="left" w:pos="1134"/>
          <w:tab w:val="left" w:pos="6720"/>
        </w:tabs>
        <w:spacing w:after="0" w:line="240" w:lineRule="auto"/>
        <w:ind w:firstLine="709"/>
        <w:jc w:val="both"/>
        <w:rPr>
          <w:rFonts w:ascii="Times New Roman" w:hAnsi="Times New Roman" w:eastAsia="Times New Roman" w:cs="Times New Roman"/>
          <w:b/>
          <w:bCs/>
          <w:color w:val="FF0000"/>
          <w:sz w:val="24"/>
          <w:szCs w:val="24"/>
          <w:lang w:val="lt-LT"/>
        </w:rPr>
      </w:pP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88. Progimnazija užtikrina visų mokinių įtrauktį į ugdymo procesą ir teikia švietimo pagalbą mokiniams, patiriantiems dalyvavimo švietime ir ugdymosi sunkumų. Mokinių specialiųjų ugdymosi poreikių vertinimas, ugdymo pritaikymas ir reikalingos švietimo pagalbos skyrimas vykdomas vadovaujantis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 </w:t>
      </w:r>
    </w:p>
    <w:p>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 Progimnazija, formuodama mokinio ugdymo turinį, vadovaujasi bendrosiomis programomis bei atsižvelgia į:</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89.1. mokinio mokymosi ir švietimo pagalbos poreikius;</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89.2. formaliojo švietimo programą;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89.3. mokymosi formą ir mokymo proceso organizavimo būdą;</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89.4. švietimo pagalbos specialistų, Progimnazijos vaiko gerovės komisijos, pedagoginių psichologinių ar švietimo pagalbos tarnybų rekomendacijas.</w:t>
      </w:r>
    </w:p>
    <w:p>
      <w:pPr>
        <w:keepLines/>
        <w:widowControl w:val="0"/>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90. Specialioji pagalba mokiniui skiriama vadovaujantis Specialiosios pagalbos teikimo mokyklose (išskyrus aukštąsias mokyklas) tvarkos aprašu, patvirtintu  Lietuvos Respublikos švietimo, mokslo ir sporto ministro 2024 m. rugpjūčio 22 d. įsakymu Nr. V-898 ,,Dėl Specialiosios pagalbos teikimo mokyklose (išskyrus aukštąsias mokyklas) tvarkos aprašo patvirtinimo“: </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90.1. specialioji pagalba skiriama pedagoginės psichologinės tarnybos vadovo arba Progimnazijos direktoriaus sprendimu mokiniui ar mokinių grupei, kuriems jos reikia;</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90.2. specialioji pagalba skiriama mokiniui arba mokinių grupei, kuriems kyla dalyvavimo ugdymo procese sunkumų; pagalbos paskirtis – didinti ugdymosi prieinamumą ir mokinio savarankiškumą;</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90.3. specialiąją pagalbą ugdymo proceso metu teikia mokinio padėjėjas; prireikus ji teikiama pavežant mokinį į Progimnaziją ir iš jos, pertraukų tarp pamokų metu ar dalyvaujant visos dienos Progimnazijos veiklose;</w:t>
      </w:r>
    </w:p>
    <w:p>
      <w:pPr>
        <w:spacing w:after="0" w:line="276"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90.4. Specialiosios pagalbos teikimas mokiniui derinamas su ugdymo procesu, kita švietimo pagalba.</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91. Progimnazijos vaiko gerovės komisijai priėmus sprendimą dėl specialiųjų ugdymosi poreikių turinčio mokinio ugdymo(si) ir švietimo pagalbos teikimo, mokiniui sudaromas individualus ugdymo planas, kurio sudėtinė dalis yra pagalbos planas, apimantis ugdymo procese teikiamą pagalbą ir paslaugas bei kitų specialistų teikiamą pagalbą, didinančią ugdymo veiksmingumą.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92. Individualiam ugdymo planui rengti ir jo įgyvendinimui koordinuoti paskiriamas koordinuojantis asmuo, kuris kartu su mokytojais, švietimo pagalbą teikiančiais specialistais, mokiniu ir jo tėvais (globėjais, rūpintojais) numato ugdymo ir pagalbos tikslus.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93. Progimnazija, rengdama mokinio individualų ugdymo planą, vadovaujasi Bendruosiuose ugdymo planuose pradinio ir pagrindinio ugdymo dalykų programoms įgyvendinti nustatytu pamokų skaičiumi. Individualiam ugdymo planui įgyvendinti sudaromas individualus tvarkaraštis, derantis su klasės, kurioje mokinys mokosi, tvarkaraščiu.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 Individualiame ugdymo plane nurodoma programa, pagal kurią mokosi mokinys (bendroji, pritaikyta ar individualizuota), numatoma švietimo pagalba, specialiosios pamokos ir pratybos bei kitų specialistų teikiama pagalba. Atsižvelgiant į mokinio specialiuosius ugdymosi poreikius, individualiame ugdymo plane galima:</w:t>
      </w:r>
    </w:p>
    <w:p>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94.1. vėliau pradėti užsienio kalbos mokyti – mokinį, turintį klausos, įvairiapusių raidos, elgesio ir emocijų, kalbos ir kalbėjimo, skaitymo ir (ar) rašymo, intelekto (taip pat ir nepatikslintų intelekto), bendrųjų mokymosi sutrikimų, turintį kochlearinius implantus; užsienio kalbos pamokų laikas skiriamas lietuvių kalbai mokyti;</w:t>
      </w:r>
    </w:p>
    <w:p>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94.2.</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užsienio kalbos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skiriamas lietuvių kalbai mokyti;</w:t>
      </w:r>
    </w:p>
    <w:p>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94.3.</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technologijų mokinio, turinčio judesio ir padėties bei neurologinių sutrikimų (išskyrus lengvus); vietoj technologijų pamokų mokiniui gali būti teikiama pedagoginė ar specialioji pedagoginė pagalba, skiriamos lietuvių kalbos ir literatūros pamokos;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94.4.</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nemokyti muzikos turinčio klausos sutrikimų (išskyrus nežymų);</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94.5. tėvams (globėjams, rūpintojams) pageidaujant, pagal galimybes keisti pamokų trukmę, dienos ugdymo struktūrą;</w:t>
      </w:r>
    </w:p>
    <w:p>
      <w:pPr>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94.6. priimti individualius sprendimus dėl socialinės-pilietinės veiklos, atsižvelgiant į mokinio galias ir gebėjimus: individualiai parinkti veiklas ir jų teikėjus, siūlyti veiklas atlikti Progimnazijoje, mažinti joms atlikti nustatytą valandų skaičių ar atleisti mokinį nuo socialinės-pilietinės veiklos atlikimo.</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 xml:space="preserve">95. </w:t>
      </w:r>
      <w:r>
        <w:rPr>
          <w:rFonts w:ascii="Times New Roman" w:hAnsi="Times New Roman" w:eastAsia="Times New Roman" w:cs="Times New Roman"/>
          <w:color w:val="000000"/>
          <w:sz w:val="24"/>
          <w:szCs w:val="24"/>
          <w:lang w:val="lt-LT"/>
        </w:rPr>
        <w:t xml:space="preserve">Mokiniui, kuris mokosi pagal: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95.1. bendrojo ugdymo programą, ją pritaikant, mokinio individualus ugdymo planas sudaromas vadovaujantis Bendrųjų ugdymo planų 85, 91 punktuose dalykų programoms įgyvendinti nurodomu pamokų skaičiumi, kuris gali būti koreguojamas </w:t>
      </w:r>
      <w:r>
        <w:rPr>
          <w:rFonts w:ascii="Times New Roman" w:hAnsi="Times New Roman" w:eastAsia="Times New Roman" w:cs="Times New Roman"/>
          <w:sz w:val="24"/>
          <w:szCs w:val="24"/>
          <w:lang w:val="lt-LT"/>
        </w:rPr>
        <w:t xml:space="preserve">iki 25 procentų. Bendrojo ugdymo dalykų programas pritaiko dalyko mokytojas, atsižvelgdamas į mokinio gebėjimus ir galias, specialiojo pedagogo ir (ar) kitų vaiko gerovės komisijos narių rekomendacijas; </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95.2. pradinio ugdymo individualizuotą, pagrindinio ugdymo individualizuotą programą, individualus ugdymo planas sudaromas atsižvelgiant į mokinio individualaus ugdymo pagalbos planą, galias ir gebėjimus, kylančius dėl intelekto sutrikimo (nežymaus, vidutinio, žymaus ar labai žymaus), mokymosi formą, mokymo organizavimo būdą, ugdymą įgyvendinančios mokyklos ar klasės paskirtį. Bendrojo ugdymo dalykų programas, metodus, pažangos vertinimą individualizuoja mokytojas, atsižvelgdamas į mokinio gebėjimus ir galias, specialiojo pedagogo ir kitų Vaiko gerovės komisijos narių rekomendacijas;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 pagrindinio ugdymo individualizuotą programą dėl nežymaus intelekto sutrikimo, ugdymo planas rengiamas vadovaujantis Bendrųjų ugdymo planų 91 punkte nustatytų dalykų programoms įgyvendinti pamokų skaičiumi, kuris, atsižvelgiant į mokymosi formą ir mokymo proceso organizavimo būdą, gali būti koreguojamas iki 35 procentų, pritaikant ugdymo turinį asmens specialiesiems ugdymosi poreikiams ir individualiam ugdymo planui įgyvendinti: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95.3.1. keičiamas (mažinamas, didinamas) dalykams skirtų pamokų skaičius;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95.3.2. numatoma papildoma mokytojo pagalba;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95.3.3. planuojamos specialiosios pamokos;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95.3.4. didinamas pamokų skaičius, skirtas meniniam, technologiniam ugdymui, kitiems dalykams mokyti, socialinei veiklai, karjeros ugdymo kompetencijoms ugdyti;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95.3.5. mokantis technologijų dalyko gali būti siūloma tik viena technologijų programa arba technologijų kryptis;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95.4. pagrindinio ugdymo individualizuotą programą dėl vidutinio intelekto sutrikimo, ugdymo planas rengiamas vadovaujantis Bendrųjų ugdymo planų 91 punkte nurodytu dalykų programoms pamokų skaičiumi, kuris, atsižvelgiant į mokymosi formą ir mokymo proceso organizavimo būdą, gali būti koreguojamas iki 40 procentų, pritaikant ugdymo turinį asmens specialiesiems ugdymosi poreikiams ir individualiam ugdymo planui įgyvendinti;</w:t>
      </w:r>
    </w:p>
    <w:p>
      <w:pPr>
        <w:tabs>
          <w:tab w:val="left" w:pos="1276"/>
          <w:tab w:val="left" w:pos="6720"/>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95.5. mokinio, turinčio specialiųjų ugdymosi poreikių, mokymosi pažanga ir pasiekimai vertinami vadovaujantis Progimnazijos ugdymo plano 43 punkto nuostatomis.</w:t>
      </w:r>
    </w:p>
    <w:p>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96. Įvairiapusių raidos sutrikimų turinčio mokinio individualus ugdymo planas sudaromas vadovaujantis Bendrųjų ugdymo planų 85, 91 punktais: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96.1. įvairiapusių raidos sutrikimų turintys mokiniai (išskyrus mokinius, turinčius didelių specialiųjų poreikių) ugdomi bendroje klasėje, skiriant mokytojo padėjėją;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 Progimnazija, organizuodama mokinių, turinčių įvairiapusių raidos sutrikimų, ugdymą:</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96.2.1. parengia individualų ugdymo planą, kuriame numato elgesio prevencijos ir intervencijos būdus, socialinių įgūdžių ugdymo veiklas. Individualus ugdymo planas periodiškai, ne rečiau kaip kartą per mėnesį, arba užfiksavus mokinio pažangą ar nustačius, kad ugdymo procese pažanga nedaroma, peržiūrimas ir prireikus koreguojamas;</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96.2.2. pagal galimybes pritaiko mokiniui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96.2.3. sudaromos sąlygos ugdomosios veiklos metu daryti fizinio aktyvumo pertraukas, jų metu pagal galimybes panaudojant specialias priemones (minkštasuolius, balansavimo, supimosi priemones ir kt.);</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96.2.4. atsižvelgiant į individualius mokinio gebėjimus ir raidos specifiką, numatomi mokymo medžiagos pateikimo būdai (vaizdinis, garsinis ir kt.); mokinys įtraukiamas į veiklas pagal jo pomėgius, o individualiame ugdymo plane numatomi mokymosi pasiekimų vertinimo ir individualios pažangos stebėjimo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 Mokinių, kuriems nustatytas elgesio ar (ir) emocijų sutrikimas, ugdymas organizuojamas vadovaujantis Ugdymo organizavimo rekomendacijomis mokiniams, kuriems nustatytas elgesio ar (ir) emocijų sutrikimas, patvirtintomis Lietuvos Respublikos švietimo, mokslo ir sporto ministro 2024 m. rugpjūčio 22 d. įsakymu Nr. V-900 „Dėl Ugdymo organizavimo rekomendacijų mokiniams, kuriems nustatytas elgesio ir (arba) emocijų sutrikimas, patvirtinimo“: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97.1. užtikrinama saugi aplinka: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97.1.1. Progimnazijos psichologo kabinete, prireikus ir padedant pagalbos mokiniui specialistui ar mokinio padėjėjui, sudaroma galimybė mokiniui nusiraminti, susivaldyti ir grįžti į klasę;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97.1.2. parenkamos ir nuosekliai taikomos tinkamos prevencinės priemonės pozityviam </w:t>
      </w:r>
      <w:r>
        <w:rPr>
          <w:rFonts w:ascii="Times New Roman" w:hAnsi="Times New Roman" w:eastAsia="Times New Roman" w:cs="Times New Roman"/>
          <w:sz w:val="24"/>
          <w:szCs w:val="24"/>
          <w:highlight w:val="white"/>
          <w:lang w:val="lt-LT"/>
        </w:rPr>
        <w:t>elgesiui mokyti ir palaikyti</w:t>
      </w:r>
      <w:r>
        <w:rPr>
          <w:rFonts w:ascii="Times New Roman" w:hAnsi="Times New Roman" w:eastAsia="Times New Roman" w:cs="Times New Roman"/>
          <w:sz w:val="24"/>
          <w:szCs w:val="24"/>
          <w:lang w:val="lt-LT"/>
        </w:rPr>
        <w:t>: pritaikoma aplinka, taikomos pozityvios klasės valdymo strategijos, kuriamas pozityvus santykis su mokiniu, išgryninami lūkesčiai mokinio elgesiui, naudojami pozityvaus elgesio skatinimo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97.2. pagal individualius mokinio gebėjimus ir poreikius pritaikoma mokymosi medžiaga ir mokymo metodai, ugdomi socialiniai įgūdžiai.</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 Mokiniui, turinčiam specialiųjų ugdymosi poreikių, mokymas namie organizuojamas teisės aktų nustatyta tvarka, atsižvelgiant į gydytojų konsultacinės komisijos rekomendacijas. Mokymo namie laikotarpiui, suderinus su mokinio tėvais (globėjais, rūpintojais), sudaromas individualus ugdymo planas: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98.1. mokiniui, kuris mokosi pagal pritaikytą bendrojo ugdymo programą, mokymui namuose skiriamas Bendruosiuose ugdymo planuose nustatytas pamokų skaičius;</w:t>
      </w:r>
    </w:p>
    <w:p>
      <w:pPr>
        <w:tabs>
          <w:tab w:val="left" w:pos="1276"/>
          <w:tab w:val="left" w:pos="1418"/>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98.2. mokiniui, kuris mokosi pagal pritaikytą pradinio ugdymo programą, gali būti skiriama papildomų pamokų specialiosioms pamokoms ar specialiajai pedagoginei pagalbai teikti, o mokiniui, kuris mokosi tautinės mažumos kalba, – lietuvių kalbai ir literatūrai mokyti, vadovaujantis Bendraisiais ugdymo planais;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98.3. mokiniui, kuris mokosi pagal pritaikytą pagrindinio ugdymo programą, dalis mokymui namie skirtų pamokų gali būti skiriama specialiosioms pamokoms, specialiosioms pratyboms ar konsultacijoms, o mokiniui, kuris mokosi tautinės mažumos kalba, gali būti skiriama papildomų pamokų lietuvių kalbai ir literatūrai mokyti, vadovaujantis Bendraisiais ugdymo planais; </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98.4. mokiniui, kuris mokosi pagal pradinio ar pagrindinio ugdymo individualizuotą programą, individualus ugdymo planas sudaromas atsižvelgiant į mokinio specialiuosius ugdymosi poreikius, galias ir gebėjimus bei vadovaujantis Bendrųjų ugdymo planų nuostatomis dėl mokymo namie;</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98.5. gydytojų konsultacinės komisijos leidimu dalį pamokų mokinys gali lankyti Progimnazijoje;</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98.6. mokinio tėvams (globėjams, rūpintojams) pageidaujant, mokymas namie (visi dalykai ar jų dalis) gali būti organizuojamas nuotoliniu mokymo proceso organizavimo būdu.</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99. Švietimo pagalbos mokiniams, turintiems specialiųjų ugdymosi poreikių, teikimas: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99.1. švietimo pagalba, ją teikiantys specialistai, tikslai ir intensyvumas numatomi mokinio pagalbos plane; švietimo pagalbą teikiantys specialistai, bendradarbiaudami su mokytojais, padeda įveikti mokiniui kylančius mokymosi sunkumus, šalina jų priežastis, stebi ugdymo procese mokinius, teikia konsultacinę pagalbą ir įgalina mokinio tėvus (globėjus, rūpintojus) ir kitus, teikiančius paslaugas ir pagalbą, padėti mokiniui ugdytis, sudaryti sąlygas mokytis ir užtikrinti jo gerovę;  </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99.2.</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švietimo pagalba mokiniui teikiama laikinai ar nuolat ugdymo proceso metu ar pasibaigus ugdymo procesui, konsultuojant mokinį, atsižvelgiant į individualiame ugdymo plane keliamus ugdymo(si) tikslus, pagalbą teikiančių specialistų funkcijas ir mokinio reikmes. Siekiant įtraukties į ugdymo procesą ir teikiant pagalbą pamokoje, klasėje pasirenkami kuo mažiau stigmatizuojantys ugdymo ir švietimo pagalbos teikimo būdai;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 švietimo pagalba gali būti teikiama specialiosiose pamokose ir specialiosiose pratybose: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99.3.1. specialioji pamoka skiriama mokymosi sunkumams ar sutrikimams, kylantiems dėl įgimtų ar įgytų sutrikimų, įveikti;</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99.3.2. specialiosios pratybos skiriamos švietimo veiksmingumui didinti, įgimtiems ar įgytiems sutrikimams kompensuoti, mokinio gebėjimams ir galioms plėtoti; jos organizuojamos individualiai arba grupėmis, vadovaujantis Bendrųjų ugdymo planų nuostatomis.</w:t>
      </w:r>
    </w:p>
    <w:p>
      <w:pPr>
        <w:tabs>
          <w:tab w:val="left" w:pos="1276"/>
        </w:tabs>
        <w:spacing w:after="0" w:line="240" w:lineRule="auto"/>
        <w:jc w:val="both"/>
        <w:rPr>
          <w:rFonts w:ascii="Times New Roman" w:hAnsi="Times New Roman" w:eastAsia="Times New Roman" w:cs="Times New Roman"/>
          <w:b/>
          <w:bCs/>
          <w:sz w:val="24"/>
          <w:szCs w:val="24"/>
          <w:lang w:val="lt-LT"/>
        </w:rPr>
      </w:pP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DVYLIKTASIS SKIRSNIS</w:t>
      </w:r>
    </w:p>
    <w:p>
      <w:pPr>
        <w:tabs>
          <w:tab w:val="left" w:pos="1276"/>
        </w:tabs>
        <w:spacing w:after="0" w:line="240" w:lineRule="auto"/>
        <w:jc w:val="center"/>
        <w:rPr>
          <w:rFonts w:ascii="Times New Roman" w:hAnsi="Times New Roman" w:eastAsia="Times New Roman" w:cs="Times New Roman"/>
          <w:sz w:val="20"/>
          <w:szCs w:val="20"/>
          <w:lang w:val="lt-LT"/>
        </w:rPr>
      </w:pPr>
      <w:r>
        <w:rPr>
          <w:rFonts w:ascii="Times New Roman" w:hAnsi="Times New Roman" w:eastAsia="Times New Roman" w:cs="Times New Roman"/>
          <w:b/>
          <w:bCs/>
          <w:sz w:val="24"/>
          <w:szCs w:val="24"/>
          <w:lang w:val="lt-LT"/>
        </w:rPr>
        <w:t>NEFORMALIOJO VAIKŲ ŠVIETIMO ORGANIZAVIMAS</w:t>
      </w:r>
    </w:p>
    <w:p>
      <w:pPr>
        <w:tabs>
          <w:tab w:val="left" w:pos="1276"/>
        </w:tabs>
        <w:spacing w:after="0" w:line="240" w:lineRule="auto"/>
        <w:ind w:firstLine="709"/>
        <w:jc w:val="center"/>
        <w:rPr>
          <w:rFonts w:ascii="Times New Roman" w:hAnsi="Times New Roman" w:eastAsia="Times New Roman" w:cs="Times New Roman"/>
          <w:b/>
          <w:bCs/>
          <w:color w:val="FF0000"/>
          <w:sz w:val="24"/>
          <w:szCs w:val="24"/>
          <w:lang w:val="lt-LT"/>
        </w:rPr>
      </w:pPr>
    </w:p>
    <w:p>
      <w:pPr>
        <w:tabs>
          <w:tab w:val="left" w:pos="1134"/>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 Neformalusis vaikų švietimas įgyvendinamas vadovaujantis Neformaliojo vaikų švietimo koncepcija, patvirtinta Lietuvos Respublikos švietimo ir mokslo ministro 2005 m. gruodžio 30 d. įsakymu Nr. ISAK-2695 „Dėl Neformaliojo vaikų švietimo koncepcijos patvirtinimo“ (Lietuvos Respublikos švietimo, mokslo ir sporto ministro 2023 m. liepos 31 d. įsakymo Nr. V-1030 redakcija). Neformalusis vaikų švietimas Progimnazijoje organizuojamas laikantis šių principų: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100.1. aktualumo – atsižvelgiama į mokinių apklausos rezultatus, Progimnazijos tradicijas ir veiklos tikslingumą;</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100.2. demokratiškumo – atsižvelgiama į Progimnazijos mokinių ir jų tėvų (globėjų, rūpintojų) poreikius;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100.3. prieinamumo – neformaliojo švietimo organizavimo būdai – būrelis, klubas, studija – Progimnazijoje prieinami mokiniams pagal amžių, turimą patirtį nepriklausomai nuo jų socialinės padėties;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100.4. individualizavimo – sudaromos visos sąlygos mokinio kompetencijoms</w:t>
      </w:r>
      <w:r>
        <w:rPr>
          <w:rFonts w:ascii="Times New Roman" w:hAnsi="Times New Roman" w:eastAsia="Times New Roman" w:cs="Times New Roman"/>
          <w:color w:val="000000"/>
          <w:sz w:val="24"/>
          <w:szCs w:val="24"/>
          <w:lang w:val="lt-LT"/>
        </w:rPr>
        <w:t xml:space="preserve"> ugdytis per pasirinktą veiklą, atsižvelgiant į asmenybę, poreikius ir pasiekimus;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100.5. savarankiškumo – neformaliojo vaikų švietimo veikla Progimnazijos mokiniams yra neprivaloma ir laisvai pasirenkama.</w:t>
      </w:r>
    </w:p>
    <w:p>
      <w:pPr>
        <w:tabs>
          <w:tab w:val="left" w:pos="1134"/>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 xml:space="preserve">101.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Mokinių skaičius neformaliojo vaikų švietimo grupėje – ne mažiau kaip 12. Grupės sudaromos iš tos pačios, paralelių ar gretimų klasių mokinių arba mokinių, turinčių bendrų interesų. Mokinių grupės sudėtis per mokslo metus gali keistis.</w:t>
      </w:r>
    </w:p>
    <w:p>
      <w:pPr>
        <w:tabs>
          <w:tab w:val="left" w:pos="1276"/>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color w:val="000000"/>
          <w:sz w:val="24"/>
          <w:szCs w:val="24"/>
          <w:lang w:val="lt-LT"/>
        </w:rPr>
        <w:t>102. Neformaliojo vaikų švietimo valandos paskirstomos atsižvelgiant į neformaliojo vaikų švietimo pasiūlos ir paklausos tyrimų rezultatus bei mokinių poreikius. Mokinių pasirinktoms neformaliojo vaikų švietimo programoms per savaitę skiriama: meninei raiškai – 30 val., sportui – 6 val., etnokultūrai – 8 val., kitoms programoms – 11 val. Neformaliojo vaikų švietimo veiklai vykdyti sudaromas tvarkaraštis, o programų įgyvendinimas fiksuojamas elektroniniame dienyne.</w:t>
      </w:r>
    </w:p>
    <w:p>
      <w:pPr>
        <w:tabs>
          <w:tab w:val="left" w:pos="1276"/>
        </w:tabs>
        <w:spacing w:after="0" w:line="240" w:lineRule="auto"/>
        <w:ind w:firstLine="720" w:firstLineChars="300"/>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103. Neformaliojo vaikų švietimo veiklą Progimnazijoje kuruoja Progimnazijos direktoriaus paskirti direktoriaus pavaduotojai ugdymui.      </w:t>
      </w:r>
    </w:p>
    <w:p>
      <w:pPr>
        <w:tabs>
          <w:tab w:val="left" w:pos="1276"/>
        </w:tabs>
        <w:spacing w:after="0" w:line="240" w:lineRule="auto"/>
        <w:jc w:val="both"/>
        <w:rPr>
          <w:rFonts w:ascii="Times New Roman" w:hAnsi="Times New Roman" w:eastAsia="Times New Roman" w:cs="Times New Roman"/>
          <w:color w:val="000000"/>
          <w:sz w:val="24"/>
          <w:szCs w:val="24"/>
          <w:lang w:val="lt-LT"/>
        </w:rPr>
      </w:pP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TRYLIKTASIS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PROGIMNAZIJOS IR MOKINIŲ TĖVŲ (GLOBĖJŲ, RŪPINTOJŲ) BENDRADARBIAVIMAS</w:t>
      </w:r>
    </w:p>
    <w:p>
      <w:pPr>
        <w:tabs>
          <w:tab w:val="left" w:pos="1276"/>
        </w:tabs>
        <w:spacing w:after="0" w:line="240" w:lineRule="auto"/>
        <w:ind w:firstLine="709"/>
        <w:jc w:val="center"/>
        <w:rPr>
          <w:rFonts w:ascii="Times New Roman" w:hAnsi="Times New Roman" w:eastAsia="Times New Roman" w:cs="Times New Roman"/>
          <w:b/>
          <w:bCs/>
          <w:color w:val="000000"/>
          <w:sz w:val="24"/>
          <w:szCs w:val="24"/>
          <w:lang w:val="lt-LT"/>
        </w:rPr>
      </w:pP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104.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Su Ugdymo plano nuostatomis, įgyvendinimu, Progimnazijos ugdymo bei veiklos procesus reglamentuojančiais dokumentais, Progimnazijos ugdymo proceso organizavimo kalendoriumi (1 priedas), galiojančiomis tvarkomis tėvai (globėjai, rūpintojai) supažindinami Tėvų taryboje ir klasių tėvų susirinkimuose.</w:t>
      </w:r>
    </w:p>
    <w:p>
      <w:pPr>
        <w:tabs>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105.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Tėvams (globėjams, rūpintojams) organizuojamos atviros pamokos, bendri renginiai ir kasmetinė tarptautinė tėvų konferencija.</w:t>
      </w:r>
    </w:p>
    <w:p>
      <w:pPr>
        <w:tabs>
          <w:tab w:val="left" w:pos="1134"/>
          <w:tab w:val="left" w:pos="1276"/>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 xml:space="preserve">106.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Apie mokinio mokymosi pažangą ir pasiekimus, kylančius mokymosi sunkumus ir teikiamą mokymosi pagalbą tėvai (globėjai, rūpintojai) informuojami vadovaujantis Progimnazijos mokinių individualios pažangos stebėjimo, fiksavimo, analizavimo, informavimo ir pagalbos mokiniui teikimo tvarkos aprašu, patvirtintu Progimnazijos direktoriaus 2018 m. gegužės 2 d. įsakymu Nr. V1-55. Informacija teikiama per elektroninį dienyną, tėvų (globėjų, rūpintojų) susirinkimų ir atvirų durų dienų metu, individualių pokalbių metu, telefonu ir kitais Progimnazijoje sutartais būdais, laikantis asmens duomenų apsaugą reglamentuojančių teisės aktų reikalavimų.</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107.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Informacija apie mokinių mokymosi pažangą ir pasiekimus, atsiskaitomųjų darbų ir kitų užduočių atlikimą fiksuojama elektroniniame dienyne.</w:t>
      </w:r>
    </w:p>
    <w:p>
      <w:pPr>
        <w:tabs>
          <w:tab w:val="left" w:pos="113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color w:val="000000"/>
          <w:sz w:val="24"/>
          <w:szCs w:val="24"/>
          <w:lang w:val="lt-LT"/>
        </w:rPr>
        <w:t xml:space="preserve">108. </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Apie mokiniui kylančius mokymosi sunkumus dalyko mokytojas, klasės vadovas ar kuruojantis direktoriaus pavaduotojas ugdymui nedelsdamas informuoja mokinio tėvus (globėjus, rūpintojus). Kartu tariamasi dėl reikalingos mokymosi pagalbos ir jos teikimo būdų.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109.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Klasių vadovai, dalykų mokytojai, švietimo pagalbos specialistai, Vaiko gerovės komisijos nariai ir kuruojantys direktoriaus pavaduotojai ugdymui konsultuoja tėvus (globėjus, rūpintojus) mokinio mokymosi motyvacijos stiprinimo, palankios ugdymosi aplinkos namuose kūrimo, pagalbos mokantis, mokinio emocinės gerovės ir kitais su jo ugdymu susijusiais klausimais.</w:t>
      </w:r>
    </w:p>
    <w:p>
      <w:pPr>
        <w:tabs>
          <w:tab w:val="left" w:pos="1134"/>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110.  Būsimųjų pirmokų tėvams (globėjams, rūpintojams) sausio–vasario mėnesiais organizuojami susitikimai su mokytojais ir Progimnazijos vadovais, o būsimiems pirmokams – pažintinės veiklos.    </w:t>
      </w:r>
    </w:p>
    <w:p>
      <w:pPr>
        <w:tabs>
          <w:tab w:val="left" w:pos="1134"/>
        </w:tabs>
        <w:spacing w:after="0" w:line="240" w:lineRule="auto"/>
        <w:ind w:firstLine="709"/>
        <w:jc w:val="both"/>
        <w:rPr>
          <w:rFonts w:ascii="Times New Roman" w:hAnsi="Times New Roman" w:eastAsia="Times New Roman" w:cs="Times New Roman"/>
          <w:sz w:val="24"/>
          <w:szCs w:val="24"/>
          <w:lang w:val="lt-LT"/>
        </w:rPr>
      </w:pPr>
    </w:p>
    <w:p>
      <w:pPr>
        <w:rPr>
          <w:rFonts w:ascii="Times New Roman" w:hAnsi="Times New Roman" w:eastAsia="Times New Roman" w:cs="Times New Roman"/>
          <w:b/>
          <w:bCs/>
          <w:sz w:val="24"/>
          <w:szCs w:val="24"/>
          <w:lang w:val="lt-LT"/>
        </w:rPr>
      </w:pPr>
      <w:r>
        <w:rPr>
          <w:rFonts w:ascii="Times New Roman" w:hAnsi="Times New Roman" w:eastAsia="Times New Roman" w:cs="Times New Roman"/>
          <w:b/>
          <w:bCs/>
          <w:sz w:val="24"/>
          <w:szCs w:val="24"/>
          <w:lang w:val="lt-LT"/>
        </w:rPr>
        <w:br w:type="page"/>
      </w:r>
    </w:p>
    <w:p>
      <w:pPr>
        <w:tabs>
          <w:tab w:val="left" w:pos="6720"/>
        </w:tabs>
        <w:spacing w:after="0" w:line="240" w:lineRule="auto"/>
        <w:ind w:firstLine="709"/>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 xml:space="preserve">III SKYRIUS </w:t>
      </w: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UGDYMO PROGRAMŲ ĮGYVENDINIMAS</w:t>
      </w:r>
    </w:p>
    <w:p>
      <w:pPr>
        <w:spacing w:after="0" w:line="240" w:lineRule="auto"/>
        <w:jc w:val="center"/>
        <w:rPr>
          <w:rFonts w:ascii="Times New Roman" w:hAnsi="Times New Roman" w:eastAsia="Times New Roman" w:cs="Times New Roman"/>
          <w:b/>
          <w:bCs/>
          <w:sz w:val="24"/>
          <w:szCs w:val="24"/>
          <w:lang w:val="lt-LT"/>
        </w:rPr>
      </w:pPr>
    </w:p>
    <w:p>
      <w:pPr>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PIRMASIS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PRADINIO UGDYMO PROGRAMOS ĮGYVENDINIMO YPATUMAI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111. Pradinio ugdymo bendroji programa įgyvendinama vadovaujantis joje nustatytomis ugdymo turinio kūrimo ir įgyvendinimo didaktinėmis nuostatomis ir principais, mokinių pasiekimų ir pažangos vertinimo bei ugdymo aplinkos kūrimo nuostatomis. Mokytojai taiko aktyvius mokymo(si) metodus, ugdančius mokinių savarankiškumą, kritinį ir kūrybinį mąstymą, gebėjimą spręsti problemas, bendradarbiauti ir atsakingai veikti.</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Ugdymo sričių ir ugdymo dalykų programų įgyvendinimas: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112.1. dorinis ugdymas: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112.1.1.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tėvai (globėjai, rūpintojai) kasmet parenka mokiniui vieną iš dorinio ugdymo dalykų: etiką arba stačiatikių bendruomenės tikybą; </w:t>
      </w:r>
    </w:p>
    <w:p>
      <w:pPr>
        <w:tabs>
          <w:tab w:val="left" w:pos="1276"/>
          <w:tab w:val="left" w:pos="1560"/>
          <w:tab w:val="left" w:pos="1843"/>
        </w:tabs>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color w:val="000000"/>
          <w:sz w:val="24"/>
          <w:szCs w:val="24"/>
          <w:lang w:val="lt-LT"/>
        </w:rPr>
        <w:t>112.1.2.</w:t>
      </w:r>
      <w:r>
        <w:rPr>
          <w:rFonts w:ascii="Times New Roman" w:hAnsi="Times New Roman" w:eastAsia="Times New Roman" w:cs="Times New Roman"/>
          <w:color w:val="000000"/>
          <w:sz w:val="24"/>
          <w:szCs w:val="24"/>
          <w:lang w:val="lt-LT"/>
        </w:rPr>
        <w:tab/>
      </w:r>
      <w:r>
        <w:rPr>
          <w:rFonts w:ascii="Times New Roman" w:hAnsi="Times New Roman" w:eastAsia="Times New Roman" w:cs="Times New Roman"/>
          <w:color w:val="000000"/>
          <w:sz w:val="24"/>
          <w:szCs w:val="24"/>
          <w:lang w:val="lt-LT"/>
        </w:rPr>
        <w:t>2026–2027 mokslo metais 1 klasių mokiniai, atsižvelgiant į jų tėvų (globėjų, rūpintojų) pasirinkimą, mokosi etikos;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112.1.3. 2–4 klasėse tikybai mokyti sudaromos 8 laikinosios grupės;</w:t>
      </w:r>
    </w:p>
    <w:p>
      <w:pPr>
        <w:tabs>
          <w:tab w:val="left" w:pos="1276"/>
          <w:tab w:val="left" w:pos="1560"/>
          <w:tab w:val="left" w:pos="1843"/>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112.2.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kalbinis ugdymas: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 lietuvių kalbos gebėjimai ugdomi integruotai: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112.2.1.1. suderinus mokymo(si) laiką ir turinio apimtį, į rusų kalba mokomų pradinio ugdymo dalykų turinį integruojami mokymo lietuvių kalba fragmentai, naudojama mokomoji medžiaga, vadovėliai ir kitos mokymo(si) priemonės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112.2.1.2. siekiant dvikalbio ugdymo nuoseklumo, visuomeninio ugdymo ir gamtos mokslų temos, susijusios su Lietuvos gamta, istorija, geografija ir kultūra, mokomos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112.2.1.3. šokio (1–4 klasėse) ir muzikos (1–2 klasėse) pamokose vykdomas dvikalbis ugdymas;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112.2.1.4. matematikos pamokose mokomasi lietuviškos matematikos terminijos, atliekamos užduotys lietuvių kalba, naudojamos mokymo(si) priemonės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112.2.1.5. organizuojamos lietuvių kalbos ir kitų dalykų integruotos pamokos, miesto meninio skaitymo konkursas „Lietuva mažųjų širdyse“, vykdomi integruoti projektai, kasmet dalyvaujama respublikiniame projekte „Šiaurės šalių literatūros savaitė“, miesto projekte ,,Literatūriniai skaitymai netradicinėse erdvėse“, konkursuose „Skaitau, rašau, pagalbos neprašau“, „Moki žodį, žinai kelią“ ir kituose renginiuose lietuvių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112.2.1.6. pasibaigus ugdymo procesui, mokiniams, turintiems lietuvių kalbos mokymosi sunkumų, ir iš užsienio atvykusiems mokiniams organizuojama lietuvių kalbos edukacinė stovykla „Pažinimo džiaugsmas“;</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112.2.2. rusų tautinės mažumos gimtosios kalbos ir literatūros mokoma skiriant Bendruosiuose ugdymo planuose nustatytą pamokų skaičių;</w:t>
      </w:r>
      <w:r>
        <w:rPr>
          <w:rFonts w:ascii="Times New Roman" w:hAnsi="Times New Roman" w:eastAsia="Times New Roman" w:cs="Times New Roman"/>
          <w:sz w:val="24"/>
          <w:szCs w:val="24"/>
          <w:lang w:val="lt-LT"/>
        </w:rPr>
        <w:tab/>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 112.2.2.1. 1–3 klasių mokiniams rusų tautinės mažumos gimtosios kalbos ir literatūros gebėjimams stiprinti įgyvendinama greitojo skaitymo neformaliojo vaikų švietimo programa, kuriai skiriamos 2 valandos per savaitę;</w:t>
      </w:r>
    </w:p>
    <w:p>
      <w:pPr>
        <w:tabs>
          <w:tab w:val="left" w:pos="709"/>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 xml:space="preserve">112.2.3. pirmosios užsienio kalbos (anglų) mokoma 2–4 klasėse, skiriant po 2 pamokas per savaitę: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112.2.3.1. 2–4 klasėse mokoma pirmosios užsienio kalbos – anglų kalbos;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112.2.3.2. mokinių praktiniai anglų kalbos gebėjimai ugdomi vykdant tarptautinius Erasmus+, eTwinning projektus, organizuojant Progimnazijoje renginius – „Places to go“, anglų kalbos abėcėlės šventę „The ABC party“, kalėdinę viktoriną anglų kalba, dalyvaujant įvairiuose miesto konkursuose, KINGS olimpiadoje;</w:t>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112.3.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visuomeninis ir gamtamokslinis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112.3.1. visuomeninis ugdymas ir gamtos mokslai įgyvendinami atsižvelgiant į bendrųjų programų nuostatas, gamtos mokslų pamokas praplečiant tyrinėjimo veikla, naudojant Progimnazijos gamtos mokslų laboratorijos įrangą bei keičiant edukacinę aplinką;</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SimSun" w:cs="Times New Roman"/>
          <w:sz w:val="24"/>
          <w:szCs w:val="24"/>
          <w:lang w:val="lt-LT"/>
        </w:rPr>
        <w:t>112.3.2. 3a ir 3t klasėse visuomeninio ugdymo ir gamtos mokslų dalykų mokymas organizuojamas koncentruotai, dalykų turinį išdėstant teminiais skyriais. Vieno dalyko skyriui mokyti skiriamos 2 pamokos per savaitę iki skyriaus pabaigos. Baigus skyrių ir atlikus numatytą atsiskaitymą, pradedamas kito dalyko – visuomeninio ugdymo arba gamtos mokslų – skyrius. Dalykų mokymas organizuojamas pakaitomis, išlaikant ugdymo plane nustatytą bendrą kiekvienam dalykui skirtų pamokų skaičių.</w:t>
      </w:r>
    </w:p>
    <w:p>
      <w:pPr>
        <w:tabs>
          <w:tab w:val="left" w:pos="720"/>
          <w:tab w:val="left" w:pos="1560"/>
        </w:tabs>
        <w:spacing w:after="0" w:line="252"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112.3.3. socialiniams gebėjimams ugdyti ne mažiau kaip vienas ketvirtadalis visuomeninio ugdymo dalyko laiko skiriamas ugdymo procesą organizuoti socialinės, kultūrinės aplinkos pažinimui palankioje aplinkoje: Mažosios Lietuvos istorijos, Laikrodžių, Pilies, Kalvystės muziejuose, Prano Domšaičio galerijoje, Klaipėdos universiteto botanikos sode, Skulptūrų parke, Danės skvere, Pajūrio regioniniame parke ir kt.;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112.4. matematinis ugdymas: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112.4.1. organizuodamas matematinį ugdymą, mokytojas vadovaujasi Matematikos bendrąja programa, atsižvelgia į nacionalinių ir tarptautinių mokinių pasiekimų tyrimų rezultatus bei rekomendacijas, tikslingai naudoja skaitmenines technologijas;</w:t>
      </w:r>
      <w:r>
        <w:rPr>
          <w:rFonts w:ascii="Times New Roman" w:hAnsi="Times New Roman" w:eastAsia="Times New Roman" w:cs="Times New Roman"/>
          <w:sz w:val="24"/>
          <w:szCs w:val="24"/>
          <w:lang w:val="lt-LT"/>
        </w:rPr>
        <w:tab/>
      </w:r>
    </w:p>
    <w:p>
      <w:pPr>
        <w:tabs>
          <w:tab w:val="left" w:pos="1276"/>
          <w:tab w:val="left" w:pos="1418"/>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 fizinis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112.5.1. fizinis ugdymas įgyvendinamas pagal Fizinio ugdymo bendrąją programą, skiriant 3 pamokas per savaitę. Dvi pamokos organizuojamos sporto salėje ar universalioje sporto aikštelėje, o trečioji gali būti skiriama aktyviai fizinei veiklai lauke;</w:t>
      </w:r>
    </w:p>
    <w:p>
      <w:pPr>
        <w:tabs>
          <w:tab w:val="left" w:pos="1276"/>
          <w:tab w:val="left" w:pos="1418"/>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112.5.2. 2 klasių mokinių plaukimo programai įgyvendinti kiekvieną savaitę naudojamos 2 iš eilės einančios fizinio ugdymo pamokos; </w:t>
      </w:r>
    </w:p>
    <w:p>
      <w:pPr>
        <w:tabs>
          <w:tab w:val="left" w:pos="1276"/>
          <w:tab w:val="left" w:pos="1701"/>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112.5.3. specialiosios medicininės fizinio pajėgumo grupės mokiniai gali dalyvauti fizinio ugdymo pamokose su pagrindine grupe, tačiau pratimai ir fizinis krūvis jiems skiriami pagal gydytojo rekomendacijas ir atsižvelgiant į mokinio savijautą. Parengiamosios medicininės fizinio pajėgumo grupės mokiniams fizinis krūvis ir pratimai skiriami atsižvelgiant į jų sveikatos būklę ir ligos pobūdį;</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112.5.4. mokiniams, dėl sveikatos būklės atleistiems nuo fizinio ugdymo pamokų, sudaromos sąlygos dalyvauti pamokoje atliekant jų sveikatos būklę atitinkančias mokytojo skirtas veiklas arba kitaip organizuojamas jų užimtumas teisės aktų ir Progimnazijos nustatyta tvarka;</w:t>
      </w:r>
    </w:p>
    <w:p>
      <w:pPr>
        <w:spacing w:after="0" w:line="240" w:lineRule="auto"/>
        <w:ind w:firstLine="709"/>
        <w:jc w:val="both"/>
        <w:rPr>
          <w:rFonts w:ascii="Times New Roman" w:hAnsi="Times New Roman" w:eastAsia="Times New Roman" w:cs="Times New Roman"/>
          <w:color w:val="000000"/>
          <w:sz w:val="24"/>
          <w:szCs w:val="24"/>
          <w:lang w:val="lt-LT"/>
        </w:rPr>
      </w:pPr>
      <w:r>
        <w:rPr>
          <w:rFonts w:ascii="Times New Roman" w:hAnsi="Times New Roman" w:eastAsia="Times New Roman" w:cs="Times New Roman"/>
          <w:sz w:val="24"/>
          <w:szCs w:val="24"/>
          <w:lang w:val="lt-LT"/>
        </w:rPr>
        <w:t>112.5.5. mokinių fizinis pajėgumas nustatomas vadovaujantis Mokinių, besimokančių pagal pradinio, pagrindinio ir vidurinio ugdymo programas, fizinio pajėgumo nustatymo tvarkos aprašu. Su fizinio pajėgumo nustatymo rezultatais mokinio tėvai (globėjai, rūpintojai) supažindinami teisės aktų nustatyta tvarka.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112.6. </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meninis ugdymas (dailė, technologijos, muzika, šokis, teatras):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112.6.1. 1–4 klasėse vieną muzikos pamoką per savaitę veda muzikos mokytojas;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 trečiąja meninio ugdymo sritimi pasirinktas šokis, išskyrus 1t, 2t, 3t ir 4t klases, kuriose įgyvendinama kryptingo meninio ugdymo teatro (toliau – Teatro) programa:</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112.6.2.1. Programai įgyvendinti papildomai skiriamos 7 neformaliojo vaikų švietimo valandos per savaitę, iš jų 1 valanda per savaitę – šokio integracijai į Teatro programą.</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112.6.2.2. Teatro programai įgyvendinti tėvų (globėjų, rūpintojų) lėšomis, vadovaujantis Klaipėdos miesto savivaldybės tarybos 2014 m. rugsėjo 15 d. sprendimu „Dėl Klaipėdos miesto savivaldybės tarybos 2004 m. lapkričio 25 d. sprendimo Nr. 1-422 „Dėl Klaipėdos miesto savivaldybės biudžetinių švietimo įstaigų atlygintinai teikiamų viešųjų paslaugų tarifų nustatymo pakeitimo“, kviečiami profesionalūs Klaipėdos universiteto bei Lietuvos muzikos ir teatro akademijos Klaipėdos fakulteto pedagogai;</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112.6.2.3. Teatro klasių spektakliai pristatomi Progimnazijos bendruomenei, Klaipėdos ikimokyklinių įstaigų ugdytiniams, Progimnazijai atstovaujama Lietuvos vaikų ir jaunimo teatrų konkurse „Šimtakojis“, tarptautiniame vaikų ir jaunimo teatrų konkurse „Gintarinė aušra“ ir kt.;</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112.6.2.4. po pamokų organizuojami meninio ugdymo neformaliojo vaikų švietimo užsiėmimai: keramikos, tapybos ant vandens, šokio, gitaros ir kitos veiklos.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112.7. Informatika. Įgyvendinama Informatikos bendroji programa. Ugdant mokinių skaitmeninę kompetenciją ir informatinį mąstymą, informatikos mokymosi turinys siejamas su kitų dalykų ugdymo turiniu, tikslingai naudojamos skaitmeninės technologijos. Mokiniai ugdomi taip, kad gebėtų kūrybiškai, saugiai ir atsakingai naudotis skaitmeninėmis technologijomis bei kurti skaitmeninį turinį.</w:t>
      </w:r>
    </w:p>
    <w:p>
      <w:pPr>
        <w:spacing w:after="0" w:line="240" w:lineRule="auto"/>
        <w:rPr>
          <w:rFonts w:ascii="Times New Roman" w:hAnsi="Times New Roman" w:eastAsia="Times New Roman" w:cs="Times New Roman"/>
          <w:sz w:val="24"/>
          <w:szCs w:val="24"/>
          <w:lang w:val="lt-LT"/>
        </w:rPr>
      </w:pPr>
    </w:p>
    <w:p>
      <w:pPr>
        <w:spacing w:after="0" w:line="240" w:lineRule="auto"/>
        <w:rPr>
          <w:rFonts w:ascii="Times New Roman" w:hAnsi="Times New Roman" w:eastAsia="Times New Roman" w:cs="Times New Roman"/>
          <w:sz w:val="24"/>
          <w:szCs w:val="24"/>
          <w:lang w:val="lt-LT"/>
        </w:rPr>
      </w:pPr>
    </w:p>
    <w:p>
      <w:pPr>
        <w:tabs>
          <w:tab w:val="left" w:pos="709"/>
          <w:tab w:val="left" w:pos="1276"/>
          <w:tab w:val="left" w:pos="1701"/>
        </w:tabs>
        <w:spacing w:after="0"/>
        <w:rPr>
          <w:lang w:val="lt-LT"/>
        </w:rPr>
      </w:pPr>
    </w:p>
    <w:p>
      <w:pPr>
        <w:tabs>
          <w:tab w:val="left" w:pos="709"/>
          <w:tab w:val="left" w:pos="1276"/>
          <w:tab w:val="left" w:pos="1701"/>
        </w:tabs>
        <w:spacing w:after="0"/>
        <w:rPr>
          <w:lang w:val="lt-LT"/>
        </w:rPr>
      </w:pPr>
    </w:p>
    <w:p>
      <w:pPr>
        <w:tabs>
          <w:tab w:val="left" w:pos="709"/>
          <w:tab w:val="left" w:pos="1276"/>
          <w:tab w:val="left" w:pos="1701"/>
        </w:tabs>
        <w:spacing w:after="0"/>
        <w:rPr>
          <w:lang w:val="lt-LT"/>
        </w:rPr>
      </w:pPr>
    </w:p>
    <w:p>
      <w:pPr>
        <w:rPr>
          <w:lang w:val="lt-LT"/>
        </w:rPr>
      </w:pPr>
    </w:p>
    <w:p>
      <w:pPr>
        <w:tabs>
          <w:tab w:val="left" w:pos="709"/>
          <w:tab w:val="left" w:pos="1276"/>
          <w:tab w:val="left" w:pos="1701"/>
        </w:tabs>
        <w:spacing w:after="0"/>
        <w:rPr>
          <w:lang w:val="lt-LT"/>
        </w:rPr>
        <w:sectPr>
          <w:footerReference r:id="rId5" w:type="first"/>
          <w:footerReference r:id="rId3" w:type="default"/>
          <w:footerReference r:id="rId4" w:type="even"/>
          <w:pgSz w:w="11907" w:h="16840"/>
          <w:pgMar w:top="1134" w:right="567" w:bottom="1134" w:left="1701" w:header="720" w:footer="709" w:gutter="0"/>
          <w:cols w:space="720" w:num="1"/>
          <w:docGrid w:linePitch="360" w:charSpace="0"/>
        </w:sectPr>
      </w:pPr>
    </w:p>
    <w:p>
      <w:pPr>
        <w:tabs>
          <w:tab w:val="left" w:pos="709"/>
          <w:tab w:val="left" w:pos="1276"/>
          <w:tab w:val="left" w:pos="1701"/>
        </w:tabs>
        <w:spacing w:after="0"/>
        <w:rPr>
          <w:rFonts w:ascii="Times New Roman" w:hAnsi="Times New Roman" w:cs="Times New Roman"/>
          <w:sz w:val="24"/>
          <w:szCs w:val="24"/>
          <w:lang w:val="lt-LT"/>
        </w:rPr>
      </w:pPr>
      <w:r>
        <w:rPr>
          <w:rFonts w:ascii="Times New Roman" w:hAnsi="Times New Roman" w:cs="Times New Roman"/>
          <w:sz w:val="24"/>
          <w:szCs w:val="24"/>
          <w:lang w:val="lt-LT"/>
        </w:rPr>
        <w:t>113.</w:t>
      </w:r>
      <w:r>
        <w:rPr>
          <w:rFonts w:ascii="Times New Roman" w:hAnsi="Times New Roman" w:cs="Times New Roman"/>
          <w:sz w:val="24"/>
          <w:szCs w:val="24"/>
          <w:lang w:val="lt-LT"/>
        </w:rPr>
        <w:tab/>
      </w:r>
      <w:r>
        <w:rPr>
          <w:rFonts w:ascii="Times New Roman" w:hAnsi="Times New Roman" w:cs="Times New Roman"/>
          <w:sz w:val="24"/>
          <w:szCs w:val="24"/>
          <w:lang w:val="lt-LT"/>
        </w:rPr>
        <w:t>Pradinio ugdymo programos dalykai ir jiems įgyvendinti skiriamas pamokų (valandų) skaičius:</w:t>
      </w:r>
    </w:p>
    <w:tbl>
      <w:tblPr>
        <w:tblStyle w:val="14"/>
        <w:tblW w:w="14562" w:type="dxa"/>
        <w:jc w:val="center"/>
        <w:tblInd w:w="0" w:type="dxa"/>
        <w:tblLayout w:type="fixed"/>
        <w:tblCellMar>
          <w:top w:w="0" w:type="dxa"/>
          <w:left w:w="108" w:type="dxa"/>
          <w:bottom w:w="0" w:type="dxa"/>
          <w:right w:w="108" w:type="dxa"/>
        </w:tblCellMar>
      </w:tblPr>
      <w:tblGrid>
        <w:gridCol w:w="1728"/>
        <w:gridCol w:w="752"/>
        <w:gridCol w:w="751"/>
        <w:gridCol w:w="751"/>
        <w:gridCol w:w="798"/>
        <w:gridCol w:w="798"/>
        <w:gridCol w:w="798"/>
        <w:gridCol w:w="798"/>
        <w:gridCol w:w="751"/>
        <w:gridCol w:w="798"/>
        <w:gridCol w:w="798"/>
        <w:gridCol w:w="798"/>
        <w:gridCol w:w="798"/>
        <w:gridCol w:w="751"/>
        <w:gridCol w:w="798"/>
        <w:gridCol w:w="705"/>
        <w:gridCol w:w="1191"/>
      </w:tblGrid>
      <w:tr>
        <w:tblPrEx>
          <w:tblLayout w:type="fixed"/>
          <w:tblCellMar>
            <w:top w:w="0" w:type="dxa"/>
            <w:left w:w="108" w:type="dxa"/>
            <w:bottom w:w="0" w:type="dxa"/>
            <w:right w:w="108" w:type="dxa"/>
          </w:tblCellMar>
        </w:tblPrEx>
        <w:trPr>
          <w:trHeight w:val="363" w:hRule="atLeast"/>
          <w:tblHeader/>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Ugdymo sritys, dalykai</w:t>
            </w:r>
          </w:p>
        </w:tc>
        <w:tc>
          <w:tcPr>
            <w:tcW w:w="11643" w:type="dxa"/>
            <w:gridSpan w:val="15"/>
            <w:tcBorders>
              <w:top w:val="single" w:color="000000" w:sz="4" w:space="0"/>
              <w:left w:val="single" w:color="000000" w:sz="4" w:space="0"/>
              <w:bottom w:val="single" w:color="000000" w:sz="4"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Klasė (mokinių skaičius)</w:t>
            </w:r>
          </w:p>
        </w:tc>
        <w:tc>
          <w:tcPr>
            <w:tcW w:w="1191" w:type="dxa"/>
            <w:tcBorders>
              <w:top w:val="single" w:color="000000" w:sz="4" w:space="0"/>
              <w:left w:val="single" w:color="000000" w:sz="4" w:space="0"/>
              <w:bottom w:val="single" w:color="000000" w:sz="4" w:space="0"/>
              <w:right w:val="single" w:color="000000" w:sz="4" w:space="0"/>
            </w:tcBorders>
            <w:vAlign w:val="center"/>
          </w:tcPr>
          <w:p>
            <w:pPr>
              <w:snapToGrid w:val="0"/>
              <w:spacing w:after="0"/>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trHeight w:val="608" w:hRule="atLeast"/>
          <w:tblHeader/>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spacing w:after="0"/>
              <w:jc w:val="center"/>
              <w:rPr>
                <w:rFonts w:ascii="Times New Roman" w:hAnsi="Times New Roman" w:cs="Times New Roman"/>
                <w:sz w:val="24"/>
                <w:szCs w:val="24"/>
                <w:lang w:val="lt-LT"/>
              </w:rPr>
            </w:pPr>
          </w:p>
        </w:tc>
        <w:tc>
          <w:tcPr>
            <w:tcW w:w="752" w:type="dxa"/>
            <w:tcBorders>
              <w:top w:val="single" w:color="000000" w:sz="4"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(19)</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(19)</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3c</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(23)</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4a</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(20)</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4b</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51"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4c</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98"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4t</w:t>
            </w:r>
          </w:p>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(24)</w:t>
            </w:r>
          </w:p>
        </w:tc>
        <w:tc>
          <w:tcPr>
            <w:tcW w:w="705" w:type="dxa"/>
            <w:tcBorders>
              <w:top w:val="single" w:color="000000" w:sz="4"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doub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Iš viso valandų</w:t>
            </w:r>
          </w:p>
        </w:tc>
      </w:tr>
      <w:tr>
        <w:tblPrEx>
          <w:tblLayout w:type="fixed"/>
          <w:tblCellMar>
            <w:top w:w="0" w:type="dxa"/>
            <w:left w:w="108" w:type="dxa"/>
            <w:bottom w:w="0" w:type="dxa"/>
            <w:right w:w="108" w:type="dxa"/>
          </w:tblCellMar>
        </w:tblPrEx>
        <w:trPr>
          <w:jc w:val="center"/>
        </w:trPr>
        <w:tc>
          <w:tcPr>
            <w:tcW w:w="1728" w:type="dxa"/>
            <w:tcBorders>
              <w:top w:val="single" w:color="000000" w:sz="4"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Dorinis ugdymas</w:t>
            </w:r>
          </w:p>
        </w:tc>
        <w:tc>
          <w:tcPr>
            <w:tcW w:w="12834" w:type="dxa"/>
            <w:gridSpan w:val="16"/>
            <w:tcBorders>
              <w:top w:val="single" w:color="000000" w:sz="2" w:space="0"/>
              <w:left w:val="single" w:color="000000" w:sz="2" w:space="0"/>
              <w:bottom w:val="single" w:color="000000" w:sz="2" w:space="0"/>
              <w:right w:val="single" w:color="000000" w:sz="2" w:space="0"/>
            </w:tcBorders>
          </w:tcPr>
          <w:p>
            <w:pPr>
              <w:snapToGrid w:val="0"/>
              <w:spacing w:after="0"/>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trHeight w:val="284" w:hRule="atLeast"/>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Tikyba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1(7)</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1(16)</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1(17)</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8</w:t>
            </w:r>
          </w:p>
        </w:tc>
      </w:tr>
      <w:tr>
        <w:tblPrEx>
          <w:tblLayout w:type="fixed"/>
          <w:tblCellMar>
            <w:top w:w="0" w:type="dxa"/>
            <w:left w:w="108" w:type="dxa"/>
            <w:bottom w:w="0" w:type="dxa"/>
            <w:right w:w="108" w:type="dxa"/>
          </w:tblCellMar>
        </w:tblPrEx>
        <w:trPr>
          <w:trHeight w:val="290" w:hRule="atLeast"/>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Etika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1(23)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1(23)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1(18)</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1(17)</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1(16)</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1(15)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1(7)</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Lietuvių kalba ir literatūra</w:t>
            </w:r>
          </w:p>
        </w:tc>
        <w:tc>
          <w:tcPr>
            <w:tcW w:w="12834" w:type="dxa"/>
            <w:gridSpan w:val="16"/>
            <w:tcBorders>
              <w:top w:val="single" w:color="000000" w:sz="2" w:space="0"/>
              <w:left w:val="single" w:color="000000" w:sz="2" w:space="0"/>
              <w:bottom w:val="single" w:color="000000" w:sz="2" w:space="0"/>
              <w:right w:val="single" w:color="000000" w:sz="4" w:space="0"/>
            </w:tcBorders>
            <w:vAlign w:val="center"/>
          </w:tcPr>
          <w:p>
            <w:pPr>
              <w:snapToGrid w:val="0"/>
              <w:spacing w:after="0"/>
              <w:jc w:val="center"/>
              <w:rPr>
                <w:rFonts w:ascii="Times New Roman" w:hAnsi="Times New Roman" w:cs="Times New Roman"/>
                <w:b/>
                <w:bCs/>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1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51" w:type="dxa"/>
            <w:tcBorders>
              <w:top w:val="single" w:color="000000" w:sz="2" w:space="0"/>
              <w:left w:val="single" w:color="000000" w:sz="4" w:space="0"/>
              <w:bottom w:val="single" w:color="000000" w:sz="2" w:space="0"/>
              <w:right w:val="single" w:color="000000" w:sz="4"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2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7(10)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7(9)</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7(12)</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Rusų tautinės mažumos gimtoji kalba ir literatūra</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7</w:t>
            </w:r>
          </w:p>
        </w:tc>
        <w:tc>
          <w:tcPr>
            <w:tcW w:w="705"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98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Užsienio kalba (anglų) </w:t>
            </w:r>
          </w:p>
        </w:tc>
        <w:tc>
          <w:tcPr>
            <w:tcW w:w="12834" w:type="dxa"/>
            <w:gridSpan w:val="16"/>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b/>
                <w:bCs/>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1 grupė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4" w:space="0"/>
              <w:bottom w:val="single" w:color="000000" w:sz="2" w:space="0"/>
              <w:right w:val="single" w:color="000000" w:sz="4"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4" w:space="0"/>
              <w:bottom w:val="single" w:color="000000" w:sz="2" w:space="0"/>
              <w:right w:val="single" w:color="000000" w:sz="2" w:space="0"/>
            </w:tcBorders>
          </w:tcPr>
          <w:p>
            <w:pPr>
              <w:spacing w:after="0"/>
              <w:jc w:val="center"/>
              <w:rPr>
                <w:rFonts w:ascii="Times New Roman" w:hAnsi="Times New Roman" w:cs="Times New Roman"/>
                <w:bCs/>
                <w:sz w:val="24"/>
                <w:szCs w:val="24"/>
                <w:lang w:val="lt-LT"/>
              </w:rPr>
            </w:pPr>
            <w:r>
              <w:rPr>
                <w:rFonts w:ascii="Times New Roman" w:hAnsi="Times New Roman" w:cs="Times New Roman"/>
                <w:bCs/>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2(19)</w:t>
            </w:r>
          </w:p>
        </w:tc>
        <w:tc>
          <w:tcPr>
            <w:tcW w:w="751"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2(18)</w:t>
            </w:r>
          </w:p>
        </w:tc>
        <w:tc>
          <w:tcPr>
            <w:tcW w:w="798" w:type="dxa"/>
            <w:tcBorders>
              <w:top w:val="single" w:color="000000" w:sz="2" w:space="0"/>
              <w:left w:val="single" w:color="000000" w:sz="2"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2(11)</w:t>
            </w:r>
          </w:p>
        </w:tc>
        <w:tc>
          <w:tcPr>
            <w:tcW w:w="798" w:type="dxa"/>
            <w:tcBorders>
              <w:top w:val="single" w:color="000000" w:sz="2" w:space="0"/>
              <w:left w:val="single" w:color="000000" w:sz="4" w:space="0"/>
              <w:bottom w:val="single" w:color="000000" w:sz="2" w:space="0"/>
              <w:right w:val="single" w:color="000000" w:sz="4"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2(10)</w:t>
            </w:r>
          </w:p>
        </w:tc>
        <w:tc>
          <w:tcPr>
            <w:tcW w:w="798" w:type="dxa"/>
            <w:tcBorders>
              <w:top w:val="single" w:color="000000" w:sz="2" w:space="0"/>
              <w:left w:val="single" w:color="000000" w:sz="4"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2 grupė</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bCs/>
                <w:sz w:val="24"/>
                <w:szCs w:val="24"/>
                <w:lang w:val="lt-LT"/>
              </w:rPr>
            </w:pPr>
            <w:r>
              <w:rPr>
                <w:rFonts w:ascii="Times New Roman" w:hAnsi="Times New Roman" w:cs="Times New Roman"/>
                <w:bCs/>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2(10)</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2(12)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Visuomeninis ugdymas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Gamtos mokslai</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Matematika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5</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67</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Technologijos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Dailė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Muzika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28</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Šokis</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Teatras</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Fizinis ugdymas</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Gyvenimo įgūdžiai**</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Informatika</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Etninė kultūra</w:t>
            </w:r>
          </w:p>
        </w:tc>
        <w:tc>
          <w:tcPr>
            <w:tcW w:w="752"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5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98"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c>
          <w:tcPr>
            <w:tcW w:w="705"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tcPr>
          <w:p>
            <w:pPr>
              <w:spacing w:after="0"/>
              <w:jc w:val="center"/>
              <w:rPr>
                <w:rFonts w:ascii="Times New Roman" w:hAnsi="Times New Roman" w:cs="Times New Roman"/>
                <w:sz w:val="24"/>
                <w:szCs w:val="24"/>
                <w:lang w:val="lt-LT"/>
              </w:rPr>
            </w:pPr>
            <w:r>
              <w:rPr>
                <w:rFonts w:ascii="Times New Roman" w:hAnsi="Times New Roman" w:cs="Times New Roman"/>
                <w:b/>
                <w:sz w:val="24"/>
                <w:szCs w:val="24"/>
                <w:lang w:val="lt-LT"/>
              </w:rPr>
              <w:t>**</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Iš viso privalomų pamokų skaičius mokiniui per savaitę (1)</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29</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ind w:right="34"/>
              <w:jc w:val="center"/>
              <w:rPr>
                <w:rFonts w:ascii="Times New Roman" w:hAnsi="Times New Roman" w:cs="Times New Roman"/>
                <w:b/>
                <w:sz w:val="24"/>
                <w:szCs w:val="24"/>
                <w:lang w:val="lt-LT"/>
              </w:rPr>
            </w:pPr>
            <w:r>
              <w:rPr>
                <w:rFonts w:ascii="Times New Roman" w:hAnsi="Times New Roman" w:cs="Times New Roman"/>
                <w:b/>
                <w:sz w:val="24"/>
                <w:szCs w:val="24"/>
                <w:lang w:val="lt-LT"/>
              </w:rPr>
              <w:t>439</w:t>
            </w:r>
          </w:p>
          <w:p>
            <w:pPr>
              <w:spacing w:after="0"/>
              <w:ind w:right="34"/>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Neformalusis vaikų švietimas</w:t>
            </w:r>
          </w:p>
        </w:tc>
        <w:tc>
          <w:tcPr>
            <w:tcW w:w="12834" w:type="dxa"/>
            <w:gridSpan w:val="16"/>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Teatras</w:t>
            </w:r>
          </w:p>
        </w:tc>
        <w:tc>
          <w:tcPr>
            <w:tcW w:w="752"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Šokis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Folkloras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trHeight w:val="312"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Keramikos būrelis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color w:val="000000"/>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Tapybos ant vandens studija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color w:val="000000"/>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color w:val="000000"/>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3</w:t>
            </w:r>
          </w:p>
        </w:tc>
      </w:tr>
      <w:tr>
        <w:tblPrEx>
          <w:tblLayout w:type="fixed"/>
          <w:tblCellMar>
            <w:top w:w="0" w:type="dxa"/>
            <w:left w:w="108" w:type="dxa"/>
            <w:bottom w:w="0" w:type="dxa"/>
            <w:right w:w="108" w:type="dxa"/>
          </w:tblCellMar>
        </w:tblPrEx>
        <w:trPr>
          <w:trHeight w:val="204"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Kvėpavimo gimnastika</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trHeight w:val="204" w:hRule="atLeast"/>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Judrūs žaidimai</w:t>
            </w:r>
          </w:p>
          <w:p>
            <w:pPr>
              <w:spacing w:after="0"/>
              <w:rPr>
                <w:rFonts w:ascii="Times New Roman" w:hAnsi="Times New Roman" w:cs="Times New Roman"/>
                <w:sz w:val="24"/>
                <w:szCs w:val="24"/>
                <w:lang w:val="lt-LT"/>
              </w:rPr>
            </w:pP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Šachmatų būrelis </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Greitasis skaitymas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0,5</w:t>
            </w: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Gitaros pamokos</w:t>
            </w:r>
          </w:p>
        </w:tc>
        <w:tc>
          <w:tcPr>
            <w:tcW w:w="752"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r>
              <w:rPr>
                <w:rFonts w:ascii="Times New Roman" w:hAnsi="Times New Roman" w:cs="Times New Roman"/>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98"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705" w:type="dxa"/>
            <w:tcBorders>
              <w:top w:val="single" w:color="000000" w:sz="2" w:space="0"/>
              <w:left w:val="single" w:color="000000" w:sz="2" w:space="0"/>
              <w:bottom w:val="single" w:color="000000" w:sz="2" w:space="0"/>
              <w:right w:val="single" w:color="000000" w:sz="2" w:space="0"/>
            </w:tcBorders>
            <w:vAlign w:val="center"/>
          </w:tcPr>
          <w:p>
            <w:pPr>
              <w:snapToGrid w:val="0"/>
              <w:spacing w:after="0"/>
              <w:jc w:val="center"/>
              <w:rPr>
                <w:rFonts w:ascii="Times New Roman" w:hAnsi="Times New Roman" w:cs="Times New Roman"/>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2" w:space="0"/>
              <w:right w:val="single" w:color="000000" w:sz="2" w:space="0"/>
            </w:tcBorders>
            <w:vAlign w:val="center"/>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Iš viso panaudota neformaliojo švietimo valandų (3) </w:t>
            </w:r>
          </w:p>
        </w:tc>
        <w:tc>
          <w:tcPr>
            <w:tcW w:w="752"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1,5</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1,5</w:t>
            </w:r>
          </w:p>
        </w:tc>
        <w:tc>
          <w:tcPr>
            <w:tcW w:w="75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w:t>
            </w:r>
          </w:p>
        </w:tc>
        <w:tc>
          <w:tcPr>
            <w:tcW w:w="798"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2</w:t>
            </w:r>
          </w:p>
        </w:tc>
        <w:tc>
          <w:tcPr>
            <w:tcW w:w="705"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top w:val="single" w:color="000000" w:sz="2" w:space="0"/>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26</w:t>
            </w:r>
          </w:p>
        </w:tc>
      </w:tr>
      <w:tr>
        <w:tblPrEx>
          <w:tblLayout w:type="fixed"/>
          <w:tblCellMar>
            <w:top w:w="0" w:type="dxa"/>
            <w:left w:w="108" w:type="dxa"/>
            <w:bottom w:w="0" w:type="dxa"/>
            <w:right w:w="108" w:type="dxa"/>
          </w:tblCellMar>
        </w:tblPrEx>
        <w:trPr>
          <w:jc w:val="center"/>
        </w:trPr>
        <w:tc>
          <w:tcPr>
            <w:tcW w:w="1728" w:type="dxa"/>
            <w:tcBorders>
              <w:top w:val="single" w:color="000000" w:sz="2" w:space="0"/>
              <w:left w:val="single" w:color="000000" w:sz="2" w:space="0"/>
              <w:bottom w:val="single" w:color="000000" w:sz="4"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Valandos, skirtos klasių dalijimui į grupes (4)</w:t>
            </w:r>
          </w:p>
        </w:tc>
        <w:tc>
          <w:tcPr>
            <w:tcW w:w="752"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5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7</w:t>
            </w:r>
          </w:p>
        </w:tc>
        <w:tc>
          <w:tcPr>
            <w:tcW w:w="798"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10</w:t>
            </w:r>
          </w:p>
        </w:tc>
        <w:tc>
          <w:tcPr>
            <w:tcW w:w="705"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top w:val="single" w:color="000000" w:sz="2" w:space="0"/>
              <w:left w:val="single" w:color="000000" w:sz="2" w:space="0"/>
              <w:bottom w:val="single" w:color="000000" w:sz="4"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122</w:t>
            </w:r>
          </w:p>
        </w:tc>
      </w:tr>
      <w:tr>
        <w:tblPrEx>
          <w:tblLayout w:type="fixed"/>
          <w:tblCellMar>
            <w:top w:w="0" w:type="dxa"/>
            <w:left w:w="108" w:type="dxa"/>
            <w:bottom w:w="0" w:type="dxa"/>
            <w:right w:w="108" w:type="dxa"/>
          </w:tblCellMar>
        </w:tblPrEx>
        <w:trPr>
          <w:jc w:val="center"/>
        </w:trPr>
        <w:tc>
          <w:tcPr>
            <w:tcW w:w="1728" w:type="dxa"/>
            <w:tcBorders>
              <w:left w:val="single" w:color="000000" w:sz="2" w:space="0"/>
              <w:bottom w:val="single" w:color="000000" w:sz="2" w:space="0"/>
              <w:right w:val="single" w:color="000000" w:sz="2" w:space="0"/>
            </w:tcBorders>
          </w:tcPr>
          <w:p>
            <w:pPr>
              <w:spacing w:after="0"/>
              <w:rPr>
                <w:rFonts w:ascii="Times New Roman" w:hAnsi="Times New Roman" w:cs="Times New Roman"/>
                <w:sz w:val="24"/>
                <w:szCs w:val="24"/>
                <w:lang w:val="lt-LT"/>
              </w:rPr>
            </w:pPr>
            <w:r>
              <w:rPr>
                <w:rFonts w:ascii="Times New Roman" w:hAnsi="Times New Roman" w:cs="Times New Roman"/>
                <w:sz w:val="24"/>
                <w:szCs w:val="24"/>
                <w:lang w:val="lt-LT"/>
              </w:rPr>
              <w:t>Iš viso panaudota valandų (1,3 ir 4 suma)</w:t>
            </w:r>
          </w:p>
        </w:tc>
        <w:tc>
          <w:tcPr>
            <w:tcW w:w="752"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38</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37</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39</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40</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41</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43,5</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43,5</w:t>
            </w:r>
          </w:p>
        </w:tc>
        <w:tc>
          <w:tcPr>
            <w:tcW w:w="75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40</w:t>
            </w:r>
          </w:p>
        </w:tc>
        <w:tc>
          <w:tcPr>
            <w:tcW w:w="798"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t>44</w:t>
            </w:r>
          </w:p>
        </w:tc>
        <w:tc>
          <w:tcPr>
            <w:tcW w:w="705"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sz w:val="24"/>
                <w:szCs w:val="24"/>
                <w:lang w:val="lt-LT"/>
              </w:rPr>
            </w:pPr>
          </w:p>
        </w:tc>
        <w:tc>
          <w:tcPr>
            <w:tcW w:w="1191" w:type="dxa"/>
            <w:tcBorders>
              <w:left w:val="single" w:color="000000" w:sz="2" w:space="0"/>
              <w:bottom w:val="single" w:color="000000" w:sz="2" w:space="0"/>
              <w:right w:val="single" w:color="000000" w:sz="2" w:space="0"/>
            </w:tcBorders>
            <w:vAlign w:val="center"/>
          </w:tcPr>
          <w:p>
            <w:pPr>
              <w:spacing w:after="0"/>
              <w:jc w:val="center"/>
              <w:rPr>
                <w:rFonts w:ascii="Times New Roman" w:hAnsi="Times New Roman" w:cs="Times New Roman"/>
                <w:b/>
                <w:bCs/>
                <w:color w:val="000000"/>
                <w:sz w:val="24"/>
                <w:szCs w:val="24"/>
                <w:lang w:val="lt-LT"/>
              </w:rPr>
            </w:pPr>
            <w:r>
              <w:rPr>
                <w:rFonts w:ascii="Times New Roman" w:hAnsi="Times New Roman" w:cs="Times New Roman"/>
                <w:b/>
                <w:bCs/>
                <w:color w:val="000000"/>
                <w:sz w:val="24"/>
                <w:szCs w:val="24"/>
                <w:lang w:val="lt-LT"/>
              </w:rPr>
              <w:t>587</w:t>
            </w:r>
          </w:p>
        </w:tc>
      </w:tr>
    </w:tbl>
    <w:p>
      <w:pPr>
        <w:tabs>
          <w:tab w:val="left" w:pos="709"/>
          <w:tab w:val="left" w:pos="1276"/>
          <w:tab w:val="left" w:pos="1701"/>
        </w:tabs>
        <w:spacing w:after="0"/>
        <w:rPr>
          <w:rFonts w:ascii="Times New Roman" w:hAnsi="Times New Roman" w:cs="Times New Roman"/>
          <w:sz w:val="24"/>
          <w:szCs w:val="24"/>
          <w:lang w:val="lt-LT"/>
        </w:rPr>
      </w:pPr>
    </w:p>
    <w:p>
      <w:pPr>
        <w:tabs>
          <w:tab w:val="left" w:pos="1276"/>
        </w:tabs>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Pastabos:</w:t>
      </w:r>
    </w:p>
    <w:p>
      <w:pPr>
        <w:tabs>
          <w:tab w:val="left" w:pos="993"/>
        </w:tabs>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*valandos mokinių ugdymo poreikiams tenkinti;</w:t>
      </w:r>
    </w:p>
    <w:p>
      <w:pPr>
        <w:tabs>
          <w:tab w:val="left" w:pos="1276"/>
        </w:tabs>
        <w:spacing w:after="0" w:line="240" w:lineRule="auto"/>
        <w:rPr>
          <w:rFonts w:ascii="Times New Roman" w:hAnsi="Times New Roman" w:cs="Times New Roman"/>
          <w:sz w:val="24"/>
          <w:szCs w:val="24"/>
          <w:lang w:val="lt-LT"/>
        </w:rPr>
        <w:sectPr>
          <w:pgSz w:w="16840" w:h="11907" w:orient="landscape"/>
          <w:pgMar w:top="1701" w:right="1134" w:bottom="567" w:left="1134" w:header="720" w:footer="709" w:gutter="0"/>
          <w:cols w:space="720" w:num="1"/>
          <w:docGrid w:linePitch="360" w:charSpace="0"/>
        </w:sectPr>
      </w:pPr>
      <w:r>
        <w:rPr>
          <w:rFonts w:ascii="Times New Roman" w:hAnsi="Times New Roman" w:cs="Times New Roman"/>
          <w:sz w:val="24"/>
          <w:szCs w:val="24"/>
          <w:lang w:val="lt-LT"/>
        </w:rPr>
        <w:t>**  integruojama į kitus mokomuosius dalykus.</w:t>
      </w:r>
    </w:p>
    <w:p>
      <w:pPr>
        <w:spacing w:after="0"/>
        <w:rPr>
          <w:rFonts w:ascii="Times New Roman" w:hAnsi="Times New Roman" w:eastAsia="Times New Roman" w:cs="Times New Roman"/>
          <w:sz w:val="24"/>
          <w:szCs w:val="24"/>
          <w:lang w:val="lt-LT"/>
        </w:rPr>
      </w:pPr>
    </w:p>
    <w:p>
      <w:pPr>
        <w:tabs>
          <w:tab w:val="left" w:pos="6720"/>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ANTRASIS SKIRSNIS</w:t>
      </w:r>
    </w:p>
    <w:p>
      <w:pPr>
        <w:tabs>
          <w:tab w:val="left" w:pos="1276"/>
        </w:tabs>
        <w:spacing w:after="0" w:line="240" w:lineRule="auto"/>
        <w:jc w:val="center"/>
        <w:rPr>
          <w:rFonts w:ascii="Times New Roman" w:hAnsi="Times New Roman" w:eastAsia="Times New Roman" w:cs="Times New Roman"/>
          <w:sz w:val="24"/>
          <w:szCs w:val="24"/>
          <w:lang w:val="lt-LT"/>
        </w:rPr>
      </w:pPr>
      <w:r>
        <w:rPr>
          <w:rFonts w:ascii="Times New Roman" w:hAnsi="Times New Roman" w:eastAsia="Times New Roman" w:cs="Times New Roman"/>
          <w:b/>
          <w:bCs/>
          <w:sz w:val="24"/>
          <w:szCs w:val="24"/>
          <w:lang w:val="lt-LT"/>
        </w:rPr>
        <w:t>PAGRINDINIO UGDYMO PROGRAMOS ĮGYVENDINIMO YPATUMAI</w:t>
      </w:r>
    </w:p>
    <w:p>
      <w:pPr>
        <w:tabs>
          <w:tab w:val="left" w:pos="1276"/>
          <w:tab w:val="left" w:pos="6720"/>
        </w:tabs>
        <w:spacing w:after="0" w:line="240" w:lineRule="auto"/>
        <w:ind w:firstLine="709"/>
        <w:jc w:val="center"/>
        <w:rPr>
          <w:rFonts w:ascii="Times New Roman" w:hAnsi="Times New Roman" w:eastAsia="Times New Roman" w:cs="Times New Roman"/>
          <w:b/>
          <w:bCs/>
          <w:color w:val="FF0000"/>
          <w:sz w:val="24"/>
          <w:szCs w:val="24"/>
          <w:lang w:val="lt-LT"/>
        </w:rPr>
      </w:pPr>
    </w:p>
    <w:p>
      <w:pPr>
        <w:tabs>
          <w:tab w:val="left" w:pos="1134"/>
          <w:tab w:val="left" w:pos="1276"/>
        </w:tabs>
        <w:spacing w:after="0" w:line="240" w:lineRule="auto"/>
        <w:ind w:left="57" w:right="57" w:firstLine="663"/>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114.</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Pagrindinio ugdymo programos pirmoji dalis įgyvendinama organizuojant aktyvų, sąmoningą ir į mokinio pažangą orientuotą ugdymo procesą. Taikomi aktyvūs mokymo(si) metodai, skatinamas mokinių savarankiškumas, kritinis ir kūrybinis mąstymas, bendradarbiavimas ir mokymasis iš patirties. Mokytojas mokymo(si) metodus ir veiklas parenka atsižvelgdamas į mokinių patirtį, gebėjimus, poreikius, mokymosi tempą ir klasės emocinį klimatą.</w:t>
      </w:r>
    </w:p>
    <w:p>
      <w:pPr>
        <w:tabs>
          <w:tab w:val="left" w:pos="284"/>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 Ugdymo sričių ir dalykų programų įgyvendinimas:</w:t>
      </w:r>
    </w:p>
    <w:p>
      <w:pPr>
        <w:tabs>
          <w:tab w:val="left" w:pos="1276"/>
          <w:tab w:val="left" w:pos="672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115.1. dorinis ugdymas. Dorinio ugdymo dalyką – etiką arba stačiatikių tikybą – mokiniui iki 14 metų parenka jo tėvai (globėjai, rūpintojai), o nuo 14 metų mokinys pasirenka pats;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115.2. lietuvių kalba ir literatūra: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115.2.1. lietuvių kalbos ir literatūros mokoma skiriant Bendruosiuose ugdymo planuose nustatytą pamokų skaičių;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115.2.2. lietuvių kalbos gebėjimai ugdomi integruotai: į kitų pagrindinio ugdymo dalykų turinį integruojamos užduotys, tekstai, terminai ir kita mokomoji medžiaga lietuvių kalba, organizuojamos integruotos lietuvių kalbos ir kitų dalykų pamokos, projektai, konkursai ir kitos veiklos, susijusios su Lietuvos istorija, kultūra ir tradicijomis;</w:t>
      </w:r>
    </w:p>
    <w:p>
      <w:pPr>
        <w:spacing w:after="0" w:line="240" w:lineRule="auto"/>
        <w:ind w:firstLine="709"/>
        <w:jc w:val="both"/>
        <w:rPr>
          <w:rFonts w:ascii="Times New Roman" w:hAnsi="Times New Roman" w:eastAsia="Times New Roman" w:cs="Times New Roman"/>
          <w:sz w:val="24"/>
          <w:szCs w:val="24"/>
          <w:lang w:val="lt-LT"/>
        </w:rPr>
      </w:pPr>
      <w:bookmarkStart w:id="3" w:name="_heading=h.r2aq2y9k6r2i" w:colFirst="0" w:colLast="0"/>
      <w:bookmarkEnd w:id="3"/>
      <w:r>
        <w:rPr>
          <w:rFonts w:ascii="Times New Roman" w:hAnsi="Times New Roman" w:eastAsia="Times New Roman" w:cs="Times New Roman"/>
          <w:sz w:val="24"/>
          <w:szCs w:val="24"/>
          <w:lang w:val="lt-LT"/>
        </w:rPr>
        <w:t>115.2.3. 7a ir 7c klasėse viena iš keturių matematikos pamokų vedama lietuvių kalba;</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115.2.4. mokiniams, nepasiekusiems Lietuvių kalbos ir literatūros bendrojoje programoje numatyto patenkinamo pasiekimų lygio, organizuojamos grupinės konsultacijos mokymosi spragoms šalinti, o iš užsienio atvykusiems ir lietuvių kalbos nemokantiems ar nepakankamai ją mokantiems mokiniams skiriama papildomų lietuvių kalbos pamokų iš mokinių ugdymosi poreikiams tenkinti skirtų valandų;</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 užsienio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115.3.1. pagal pradinio ugdymo programą pradėtą mokytis pirmąją užsienio kalbą – anglų kalbą – mokinys tęsia pagal pagrindinio ugdymo programą iki pagrindinio ugdymo programos pabaigos;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115.3.2. jei mokinys yra atvykęs iš kitos Lietuvos ar užsienio mokyklos ir Progimnazija dėl objektyvių priežasčių negali sudaryti mokiniui galimybės toliau mokytis pradėtos kalbos, gavus mokinio tėvų (globėjų, rūpintojų) sutikimą raštu, mokiniui sudaromos sąlygos pradėti mokytis užsienio kalbos, kurios mokosi klasės mokiniai, ir įveikti programų skirtumus (vienus metus jam skiriama ne mažiau kaip viena papildoma užsienio kalbos pamoka per savaitę);</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 jeigu mokinys yra atvykęs iš kitos mokyklos ir, tėvams (globėjams, rūpintojams) pritarus, pageidauja toliau mokytis pradėtos kalbos, o Progimnazija neturi tos kalbos mokytojo:</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115.3.3.1. mokiniui sudaromos sąlygos lankyti užsienio kalbos pamokas kitoje mokykloje, kurioje vyksta tos kalbos pamokos, suderinus su mokiniu, mokinio tėvais (globėjais, rūpintojais) ir Švietimo skyriumi. Skiriant pamokų skaičių, vadovaujamasi Bendrųjų ugdymo planų 90</w:t>
      </w:r>
      <w:r>
        <w:rPr>
          <w:rFonts w:ascii="Times New Roman" w:hAnsi="Times New Roman" w:eastAsia="Times New Roman" w:cs="Times New Roman"/>
          <w:b/>
          <w:bCs/>
          <w:sz w:val="24"/>
          <w:szCs w:val="24"/>
          <w:lang w:val="lt-LT"/>
        </w:rPr>
        <w:t xml:space="preserve"> </w:t>
      </w:r>
      <w:r>
        <w:rPr>
          <w:rFonts w:ascii="Times New Roman" w:hAnsi="Times New Roman" w:eastAsia="Times New Roman" w:cs="Times New Roman"/>
          <w:sz w:val="24"/>
          <w:szCs w:val="24"/>
          <w:lang w:val="lt-LT"/>
        </w:rPr>
        <w:t xml:space="preserve">punktu; </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115.3.3.2. mokinys gali užsienio kalbos mokytis neformaliojo švietimo įstaigoje ir siekti Bendrosiose programose nustatytų pasiekimų. Mokinio pasiekimai įvertinami Progimnazijos nustatyta tvarka, iš anksto susitarus dėl atsiskaitymo terminų, formų ir vertinimo kriterijų;</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115.3.3.3. praktinius anglų kalbos gebėjimus mokiniai ugdo dalyvaudami tarptautiniuose „Erasmus+“ projektuose, įgyvendindami tradicinius projektus „Europos kalbų diena“, „Volunteer Day“ ir dalyvaudami kitose veiklose anglų kalba;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 matematika: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115.4.1. organizuodamas matematikos mokymą(si), mokytojas vadovaujasi Matematikos bendrąja programa, atsižvelgia į nacionalinių ir tarptautinių mokinių pasiekimų tyrimų rezultatus bei rekomendacijas;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115.4.2. 5 ir 8 klasėse viena matematikos pamoka per savaitę organizuojama diferencijuotai, sudarant laikinąsias mokymosi grupes pagal mokinių mokymosi poreikius;</w:t>
      </w:r>
    </w:p>
    <w:p>
      <w:pPr>
        <w:tabs>
          <w:tab w:val="left" w:pos="1276"/>
          <w:tab w:val="left" w:pos="1560"/>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115.4.3. mokinių mokymosi motyvacijai stiprinti naudojamos matematinio raštingumo, probleminės ir praktinės užduotys, o gabių mokinių gebėjimams plėtoti – olimpiadų, konkursų ir aukštesnio sudėtingumo užduotys, skaitmeninės bei kitos ugdymo priemonės;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115.5.</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informatika:</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115.5.1. 5−8 klasėse informatikos mokoma skiriant po 1 pamoką per savaitę; </w:t>
      </w:r>
    </w:p>
    <w:p>
      <w:pPr>
        <w:tabs>
          <w:tab w:val="left" w:pos="1134"/>
          <w:tab w:val="left" w:pos="1418"/>
        </w:tabs>
        <w:spacing w:after="0" w:line="240" w:lineRule="auto"/>
        <w:ind w:firstLine="709"/>
        <w:jc w:val="both"/>
        <w:rPr>
          <w:rFonts w:ascii="Times New Roman" w:hAnsi="Times New Roman" w:eastAsia="Times New Roman" w:cs="Times New Roman"/>
          <w:sz w:val="20"/>
          <w:szCs w:val="20"/>
          <w:lang w:val="lt-LT"/>
        </w:rPr>
      </w:pPr>
      <w:r>
        <w:rPr>
          <w:rFonts w:ascii="Times New Roman" w:hAnsi="Times New Roman" w:eastAsia="Times New Roman" w:cs="Times New Roman"/>
          <w:sz w:val="24"/>
          <w:szCs w:val="24"/>
          <w:lang w:val="lt-LT"/>
        </w:rPr>
        <w:t>115.5.2. dalykų mokytojai, bendradarbiaudami su informatikos mokytoju, pagal poreikį organizuoja integruotas dalyko ir informatikos veiklas ar pamokas;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115.6.</w:t>
      </w:r>
      <w:r>
        <w:rPr>
          <w:rFonts w:ascii="Times New Roman" w:hAnsi="Times New Roman" w:eastAsia="Times New Roman" w:cs="Times New Roman"/>
          <w:sz w:val="24"/>
          <w:szCs w:val="24"/>
          <w:lang w:val="lt-LT"/>
        </w:rPr>
        <w:tab/>
      </w:r>
      <w:r>
        <w:rPr>
          <w:rFonts w:ascii="Times New Roman" w:hAnsi="Times New Roman" w:eastAsia="Times New Roman" w:cs="Times New Roman"/>
          <w:sz w:val="24"/>
          <w:szCs w:val="24"/>
          <w:lang w:val="lt-LT"/>
        </w:rPr>
        <w:t>gamtos mokslai: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115.6.1. organizuojant gamtos mokslų dalykų mokymąsi, mokytojas vadovaujasi ne tik Bendrosiomis ugdymo programomis, bet ir nacionalinių bei tarptautinių mokinių pasiekimų tyrimų rezultatais ir rekomendacijomis;</w:t>
      </w:r>
    </w:p>
    <w:p>
      <w:pPr>
        <w:spacing w:after="0" w:line="240" w:lineRule="auto"/>
        <w:ind w:firstLine="709"/>
        <w:jc w:val="both"/>
        <w:rPr>
          <w:rFonts w:ascii="Times New Roman" w:hAnsi="Times New Roman" w:eastAsia="Times New Roman" w:cs="Times New Roman"/>
          <w:sz w:val="24"/>
          <w:szCs w:val="24"/>
          <w:highlight w:val="white"/>
          <w:lang w:val="lt-LT"/>
        </w:rPr>
      </w:pPr>
      <w:r>
        <w:rPr>
          <w:rFonts w:ascii="Times New Roman" w:hAnsi="Times New Roman" w:eastAsia="Times New Roman" w:cs="Times New Roman"/>
          <w:sz w:val="24"/>
          <w:szCs w:val="24"/>
          <w:highlight w:val="white"/>
          <w:lang w:val="lt-LT"/>
        </w:rPr>
        <w:t>115.6.2. ne mažiau kaip 30 procentų gamtos mokslų dalykams skirto ugdymo laiko per mokslo metus skiriama eksperimentinei, praktinei ir projektinei veiklai. Šios veiklos organizuojamos Progimnazijos gamtos mokslų laboratorijoje, dalykų kabinetuose ir kitose tinkamose edukacinėse aplinkose;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115.6.3. mokiniai skatinami dalyvauti gamtos mokslų ir biologijos STEAM (angl. science, technology, engineering, arts, maths) olimpiadose, gamtos centrų STEAM vykdomose neformaliojo vaikų švietimo programų veiklose nuotoliniu būdu; </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115.7. technologijos: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115.7.1. mokiniai kiekvienoje klasėje mokomi, proporcingai skiriant valandas mitybos, tekstilės, konstrukcinių medžiagų ir elektronikos technologijų programoms įgyvendinti;</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 meninis ugdymas: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115.8.1. 5−8 klasėse privalomai mokomasi muzikos ir dailės;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115.8.2. vykdomos teatro, gitaros, dainavimo neformaliojo švietimo programos;</w:t>
      </w:r>
    </w:p>
    <w:p>
      <w:pPr>
        <w:tabs>
          <w:tab w:val="left" w:pos="1276"/>
        </w:tabs>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 fizinis ugdymas:</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115.9.1. fizinio ugdymo pamokos organizuojamos sporto salėje ir universaliojo sporto aikštelėje, 8 klasių mokiniams − ir Progimnazijoje veikiančioje treniruoklių salėje;</w:t>
      </w:r>
    </w:p>
    <w:p>
      <w:pPr>
        <w:spacing w:after="0" w:line="240" w:lineRule="auto"/>
        <w:ind w:firstLine="709"/>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115.9.2. fizinio ugdymo pamokos lauke organizuojamos atsižvelgiant į mokinių amžių, oro sąlygas ir Lietuvos higienos normoje nustatytus reikalavimus, mokiniams vilkint oro sąlygas atitinkančią sportinę aprangą ir avint tinkamą avalynę;</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115.9.3. specialiosios medicininės fizinio pajėgumo grupės mokiniai dalyvauja pamokose su pagrindine grupe, bet pratimai ir krūvis jiems skiriami pagal gydytojo rekomendacijas ir atsižvelgiant į savijautą; mokinio tėvų (globėjų, rūpintojų) pageidavimu mokiniai gali lankyti sveikatinimo grupes ne Progimnazijoje;</w:t>
      </w:r>
    </w:p>
    <w:p>
      <w:pPr>
        <w:spacing w:after="0" w:line="240" w:lineRule="auto"/>
        <w:ind w:firstLine="567"/>
        <w:jc w:val="both"/>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115.9.4.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w:t>
      </w:r>
      <w:r>
        <w:rPr>
          <w:rFonts w:ascii="Times New Roman" w:hAnsi="Times New Roman" w:eastAsia="Times New Roman" w:cs="Times New Roman"/>
          <w:color w:val="FF0000"/>
          <w:sz w:val="24"/>
          <w:szCs w:val="24"/>
          <w:lang w:val="lt-LT"/>
        </w:rPr>
        <w:t xml:space="preserve"> </w:t>
      </w:r>
      <w:r>
        <w:rPr>
          <w:rFonts w:ascii="Times New Roman" w:hAnsi="Times New Roman" w:eastAsia="Times New Roman" w:cs="Times New Roman"/>
          <w:sz w:val="24"/>
          <w:szCs w:val="24"/>
          <w:lang w:val="lt-LT"/>
        </w:rPr>
        <w:t>alternatyvias atsiskaitymo užduotis, kurios atitinka mokinių fizines galimybes ir gydytojo rekomendacijas;</w:t>
      </w:r>
    </w:p>
    <w:p>
      <w:pPr>
        <w:tabs>
          <w:tab w:val="left" w:pos="1276"/>
        </w:tabs>
        <w:spacing w:after="0" w:line="240" w:lineRule="auto"/>
        <w:ind w:firstLine="709"/>
        <w:jc w:val="both"/>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 xml:space="preserve">115.9.5. mokiniams, dėl sveikatos būklės atleistiems nuo fizinio ugdymo pamokų ar laikinai jose nedalyvaujantiems dėl ligos, sudaromos sąlygos užsiimti kita jų sveikatos būklę atitinkančia ir mokytojo paskirta veikla.        </w:t>
      </w:r>
    </w:p>
    <w:p>
      <w:pPr>
        <w:spacing w:after="0" w:line="240" w:lineRule="auto"/>
        <w:jc w:val="both"/>
        <w:rPr>
          <w:rFonts w:ascii="Times New Roman" w:hAnsi="Times New Roman" w:eastAsia="Times New Roman" w:cs="Times New Roman"/>
          <w:color w:val="FF0000"/>
          <w:sz w:val="24"/>
          <w:szCs w:val="24"/>
          <w:lang w:val="lt-LT"/>
        </w:rPr>
        <w:sectPr>
          <w:footerReference r:id="rId6" w:type="default"/>
          <w:pgSz w:w="11906" w:h="16838"/>
          <w:pgMar w:top="1134" w:right="616" w:bottom="1134" w:left="1701" w:header="0" w:footer="709" w:gutter="0"/>
          <w:cols w:space="720" w:num="1"/>
        </w:sectPr>
      </w:pPr>
    </w:p>
    <w:p>
      <w:pPr>
        <w:tabs>
          <w:tab w:val="left" w:pos="1276"/>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116. Pagrindinio ugdymo programos dalykai ir jiems įgyvendinti skiriamas pamokų (valandų) skaičius: </w:t>
      </w:r>
    </w:p>
    <w:tbl>
      <w:tblPr>
        <w:tblStyle w:val="25"/>
        <w:tblW w:w="14560" w:type="dxa"/>
        <w:tblInd w:w="0" w:type="dxa"/>
        <w:tblLayout w:type="fixed"/>
        <w:tblCellMar>
          <w:top w:w="0" w:type="dxa"/>
          <w:left w:w="108" w:type="dxa"/>
          <w:bottom w:w="0" w:type="dxa"/>
          <w:right w:w="108" w:type="dxa"/>
        </w:tblCellMar>
      </w:tblPr>
      <w:tblGrid>
        <w:gridCol w:w="3397"/>
        <w:gridCol w:w="708"/>
        <w:gridCol w:w="708"/>
        <w:gridCol w:w="708"/>
        <w:gridCol w:w="708"/>
        <w:gridCol w:w="708"/>
        <w:gridCol w:w="708"/>
        <w:gridCol w:w="708"/>
        <w:gridCol w:w="713"/>
        <w:gridCol w:w="713"/>
        <w:gridCol w:w="748"/>
        <w:gridCol w:w="804"/>
        <w:gridCol w:w="763"/>
        <w:gridCol w:w="783"/>
        <w:gridCol w:w="789"/>
        <w:gridCol w:w="894"/>
      </w:tblGrid>
      <w:tr>
        <w:tblPrEx>
          <w:tblLayout w:type="fixed"/>
          <w:tblCellMar>
            <w:top w:w="0" w:type="dxa"/>
            <w:left w:w="108" w:type="dxa"/>
            <w:bottom w:w="0" w:type="dxa"/>
            <w:right w:w="108" w:type="dxa"/>
          </w:tblCellMar>
        </w:tblPrEx>
        <w:trPr>
          <w:trHeight w:val="276" w:hRule="atLeast"/>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Ugdymo sritys, dalykai</w:t>
            </w:r>
          </w:p>
        </w:tc>
        <w:tc>
          <w:tcPr>
            <w:tcW w:w="10269" w:type="dxa"/>
            <w:gridSpan w:val="14"/>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Klasė (mokinių skaičius)</w:t>
            </w:r>
          </w:p>
        </w:tc>
        <w:tc>
          <w:tcPr>
            <w:tcW w:w="89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Iš viso valandų</w:t>
            </w:r>
          </w:p>
        </w:tc>
      </w:tr>
      <w:tr>
        <w:tblPrEx>
          <w:tblLayout w:type="fixed"/>
          <w:tblCellMar>
            <w:top w:w="0" w:type="dxa"/>
            <w:left w:w="108" w:type="dxa"/>
            <w:bottom w:w="0" w:type="dxa"/>
            <w:right w:w="108" w:type="dxa"/>
          </w:tblCellMar>
        </w:tblPrEx>
        <w:trPr>
          <w:trHeight w:val="276" w:hRule="atLeast"/>
        </w:trPr>
        <w:tc>
          <w:tcPr>
            <w:tcW w:w="3397"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(28)</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6d</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(26)</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(28)</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7c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 xml:space="preserve">7d </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(27)</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8a</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8b</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(29)</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8c</w:t>
            </w:r>
          </w:p>
          <w:p>
            <w:pPr>
              <w:widowControl w:val="0"/>
              <w:tabs>
                <w:tab w:val="left" w:pos="1276"/>
              </w:tabs>
              <w:spacing w:after="0" w:line="252" w:lineRule="auto"/>
              <w:jc w:val="center"/>
              <w:rPr>
                <w:rFonts w:hAnsi="Times New Roman" w:eastAsia="Times New Roman" w:cs="Times New Roman" w:asciiTheme="minorHAnsi"/>
                <w:color w:val="FF0000"/>
                <w:lang w:val="lt-LT"/>
              </w:rPr>
            </w:pPr>
            <w:r>
              <w:rPr>
                <w:rFonts w:hAnsi="Times New Roman" w:eastAsia="Times New Roman" w:cs="Times New Roman" w:asciiTheme="minorHAnsi"/>
                <w:lang w:val="lt-LT"/>
              </w:rPr>
              <w:t>(30)</w:t>
            </w:r>
          </w:p>
        </w:tc>
        <w:tc>
          <w:tcPr>
            <w:tcW w:w="894"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hAnsi="Times New Roman" w:eastAsia="Times New Roman" w:cs="Times New Roman" w:asciiTheme="minorHAnsi"/>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Dorinis ugdymas</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 xml:space="preserve">      </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Tikyba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Etika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1(16)</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Kalbinis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35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261"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5(14)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683"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Rusų tautinės mažumos gimtoji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70</w:t>
            </w:r>
          </w:p>
        </w:tc>
      </w:tr>
      <w:tr>
        <w:tblPrEx>
          <w:tblLayout w:type="fixed"/>
          <w:tblCellMar>
            <w:top w:w="0" w:type="dxa"/>
            <w:left w:w="108" w:type="dxa"/>
            <w:bottom w:w="0" w:type="dxa"/>
            <w:right w:w="108" w:type="dxa"/>
          </w:tblCellMar>
        </w:tblPrEx>
        <w:trPr>
          <w:trHeight w:val="33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Užsienio kalba</w:t>
            </w:r>
          </w:p>
          <w:p>
            <w:pPr>
              <w:widowControl w:val="0"/>
              <w:tabs>
                <w:tab w:val="left" w:pos="1276"/>
              </w:tabs>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(anglų)</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Matematinis, gamtamokslinis ir technologinis  ugdymas</w:t>
            </w:r>
          </w:p>
        </w:tc>
      </w:tr>
      <w:tr>
        <w:tblPrEx>
          <w:tblLayout w:type="fixed"/>
          <w:tblCellMar>
            <w:top w:w="0" w:type="dxa"/>
            <w:left w:w="108" w:type="dxa"/>
            <w:bottom w:w="0" w:type="dxa"/>
            <w:right w:w="108" w:type="dxa"/>
          </w:tblCellMar>
        </w:tblPrEx>
        <w:trPr>
          <w:trHeight w:val="554"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Matematika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Informatika</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Gamtos mokslai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Biologija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Chemija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10</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Technologijos</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1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2 grupė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hAnsi="Times New Roman" w:eastAsia="Times New Roman" w:cs="Times New Roman" w:asciiTheme="minorHAnsi"/>
                <w:lang w:val="lt-LT"/>
              </w:rPr>
            </w:pPr>
            <w:r>
              <w:rPr>
                <w:rFonts w:hAnsi="Times New Roman" w:eastAsia="Times New Roman" w:cs="Times New Roman" w:asciiTheme="minorHAnsi"/>
                <w:lang w:val="lt-LT"/>
              </w:rPr>
              <w:t>2(15)</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2(13)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1(15)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Visuomeninis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Etninė kultūra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both"/>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Istorija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28</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Geografija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22</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Meninis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Dailė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630"/>
                <w:tab w:val="left" w:pos="913"/>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Muzika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Fizinis ir sveikatos ugdymas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Fizinis ugdymas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Gyvenimo įgūdžiai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Socialinė-pilietinė veikla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20***</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280***</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Iš viso privalomų pamokų skaičius mokiniui (1)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35</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color w:val="FF0000"/>
                <w:lang w:val="lt-LT"/>
              </w:rPr>
            </w:pPr>
            <w:r>
              <w:rPr>
                <w:rFonts w:hAnsi="Times New Roman" w:eastAsia="Times New Roman" w:cs="Times New Roman" w:asciiTheme="minorHAnsi"/>
                <w:b/>
                <w:bCs/>
                <w:lang w:val="lt-LT"/>
              </w:rPr>
              <w:t>466</w:t>
            </w:r>
          </w:p>
        </w:tc>
      </w:tr>
      <w:tr>
        <w:tblPrEx>
          <w:tblLayout w:type="fixed"/>
          <w:tblCellMar>
            <w:top w:w="0" w:type="dxa"/>
            <w:left w:w="108" w:type="dxa"/>
            <w:bottom w:w="0" w:type="dxa"/>
            <w:right w:w="108" w:type="dxa"/>
          </w:tblCellMar>
        </w:tblPrEx>
        <w:trPr>
          <w:trHeight w:val="473"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Mokinių ugdymo poreikių tenkinimas</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i/>
                <w:iCs/>
                <w:color w:val="FF0000"/>
                <w:lang w:val="lt-LT"/>
              </w:rPr>
            </w:pPr>
          </w:p>
        </w:tc>
      </w:tr>
      <w:tr>
        <w:tblPrEx>
          <w:tblLayout w:type="fixed"/>
          <w:tblCellMar>
            <w:top w:w="0" w:type="dxa"/>
            <w:left w:w="108" w:type="dxa"/>
            <w:bottom w:w="0" w:type="dxa"/>
            <w:right w:w="108" w:type="dxa"/>
          </w:tblCellMar>
        </w:tblPrEx>
        <w:trPr>
          <w:trHeight w:val="337"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Konsultacijos*</w:t>
            </w:r>
          </w:p>
        </w:tc>
        <w:tc>
          <w:tcPr>
            <w:tcW w:w="11163" w:type="dxa"/>
            <w:gridSpan w:val="1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i/>
                <w:iCs/>
                <w:color w:val="FF0000"/>
                <w:lang w:val="lt-LT"/>
              </w:rPr>
            </w:pP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11*</w:t>
            </w:r>
            <w:r>
              <w:rPr>
                <w:rFonts w:hAnsi="Times New Roman" w:eastAsia="Times New Roman" w:cs="Times New Roman" w:asciiTheme="minorHAnsi"/>
                <w:lang w:val="lt-LT"/>
              </w:rPr>
              <w:t xml:space="preserve"> </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Lietuvių kalba ir literatūra užsieniečiams*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Rusų tautinės mažumos gimtoji kalba ir literatūra*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Užsienio kalba (anglų)*</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u w:val="single"/>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Biologija*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Fizika*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Chemija*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Istorija*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both"/>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Geografija*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Matematika*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Matematika (diferencijavimas)*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both"/>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6*</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Informatika*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3*</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Šokio ritmu*</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Greitojo skaitymo laboratorija*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Vokiečių kalba smagiai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„Stipriame kūne - stipri siela“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valandų mokinių ugdymo poreikiams tenkinti, mokymosi pagalbai teikti</w:t>
            </w:r>
            <w:r>
              <w:rPr>
                <w:rFonts w:ascii="Times New Roman" w:hAnsi="Times New Roman" w:eastAsia="Times New Roman" w:cs="Times New Roman"/>
                <w:i/>
                <w:iCs/>
                <w:lang w:val="lt-LT"/>
              </w:rPr>
              <w:t xml:space="preserve">* </w:t>
            </w:r>
            <w:r>
              <w:rPr>
                <w:rFonts w:ascii="Times New Roman" w:hAnsi="Times New Roman" w:eastAsia="Times New Roman" w:cs="Times New Roman"/>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3*</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4*</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51*</w:t>
            </w:r>
          </w:p>
        </w:tc>
      </w:tr>
      <w:tr>
        <w:tblPrEx>
          <w:tblLayout w:type="fixed"/>
          <w:tblCellMar>
            <w:top w:w="0" w:type="dxa"/>
            <w:left w:w="108" w:type="dxa"/>
            <w:bottom w:w="0" w:type="dxa"/>
            <w:right w:w="108" w:type="dxa"/>
          </w:tblCellMar>
        </w:tblPrEx>
        <w:trPr>
          <w:trHeight w:val="276" w:hRule="atLeast"/>
        </w:trPr>
        <w:tc>
          <w:tcPr>
            <w:tcW w:w="14560" w:type="dxa"/>
            <w:gridSpan w:val="1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tabs>
                <w:tab w:val="left" w:pos="1276"/>
              </w:tabs>
              <w:spacing w:after="0" w:line="252"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Neformalusis vaikų švietimas</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Teatras „Maska“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8</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Aerobika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52"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Gitaros pamokos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3</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„Šeimos Abėcėlė“</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Vokalo studija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76" w:lineRule="auto"/>
              <w:rPr>
                <w:rFonts w:ascii="Times New Roman" w:hAnsi="Times New Roman" w:eastAsia="Times New Roman" w:cs="Times New Roman"/>
                <w:lang w:val="lt-LT"/>
              </w:rPr>
            </w:pPr>
            <w:r>
              <w:rPr>
                <w:rFonts w:ascii="Times New Roman" w:hAnsi="Times New Roman" w:eastAsia="Times New Roman" w:cs="Times New Roman"/>
                <w:lang w:val="lt-LT"/>
              </w:rPr>
              <w:t>Etninė kultūra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4</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„Drąsūs, stiprūs, vikrūs“</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r>
              <w:rPr>
                <w:rFonts w:ascii="Times New Roman" w:hAnsi="Times New Roman" w:eastAsia="Times New Roman" w:cs="Times New Roman"/>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40" w:lineRule="auto"/>
              <w:rPr>
                <w:rFonts w:ascii="Times New Roman" w:hAnsi="Times New Roman" w:eastAsia="Times New Roman" w:cs="Times New Roman"/>
                <w:lang w:val="lt-LT"/>
              </w:rPr>
            </w:pPr>
            <w:r>
              <w:rPr>
                <w:rFonts w:ascii="Times New Roman" w:hAnsi="Times New Roman" w:eastAsia="Times New Roman" w:cs="Times New Roman"/>
                <w:lang w:val="lt-LT"/>
              </w:rPr>
              <w:t>Bibliotekos bičiuliai</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ascii="Times New Roman" w:hAnsi="Times New Roman" w:eastAsia="Times New Roman" w:cs="Times New Roman"/>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lang w:val="lt-LT"/>
              </w:rPr>
              <w:t>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40" w:lineRule="auto"/>
              <w:jc w:val="center"/>
              <w:rPr>
                <w:rFonts w:hAnsi="Times New Roman" w:eastAsia="Times New Roman" w:cs="Times New Roman" w:asciiTheme="minorHAnsi"/>
                <w:lang w:val="lt-LT"/>
              </w:rPr>
            </w:pPr>
            <w:r>
              <w:rPr>
                <w:rFonts w:hAnsi="Times New Roman" w:eastAsia="Times New Roman" w:cs="Times New Roman" w:asciiTheme="minorHAnsi"/>
                <w:b/>
                <w:bCs/>
                <w:lang w:val="lt-LT"/>
              </w:rPr>
              <w:t>2</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neformaliojo švietimo valandų (3)</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spacing w:after="0" w:line="276"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25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Valandos, skirtos klasių dalijimui į grupes (4)</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165</w:t>
            </w:r>
          </w:p>
        </w:tc>
      </w:tr>
      <w:tr>
        <w:tblPrEx>
          <w:tblLayout w:type="fixed"/>
          <w:tblCellMar>
            <w:top w:w="0" w:type="dxa"/>
            <w:left w:w="108" w:type="dxa"/>
            <w:bottom w:w="0" w:type="dxa"/>
            <w:right w:w="108" w:type="dxa"/>
          </w:tblCellMar>
        </w:tblPrEx>
        <w:trPr>
          <w:trHeight w:val="276" w:hRule="atLeast"/>
        </w:trPr>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val="0"/>
              <w:spacing w:after="0" w:line="252" w:lineRule="auto"/>
              <w:rPr>
                <w:rFonts w:ascii="Times New Roman" w:hAnsi="Times New Roman" w:eastAsia="Times New Roman" w:cs="Times New Roman"/>
                <w:lang w:val="lt-LT"/>
              </w:rPr>
            </w:pPr>
            <w:r>
              <w:rPr>
                <w:rFonts w:ascii="Times New Roman" w:hAnsi="Times New Roman" w:eastAsia="Times New Roman" w:cs="Times New Roman"/>
                <w:lang w:val="lt-LT"/>
              </w:rPr>
              <w:t>Iš viso panaudota valandų (1,2,3 ir 4 suma)</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ascii="Times New Roman" w:hAnsi="Times New Roman" w:eastAsia="Times New Roman" w:cs="Times New Roman"/>
                <w:b/>
                <w:bCs/>
                <w:lang w:val="lt-LT"/>
              </w:rPr>
            </w:pPr>
            <w:r>
              <w:rPr>
                <w:rFonts w:ascii="Times New Roman" w:hAnsi="Times New Roman" w:eastAsia="Times New Roman" w:cs="Times New Roman"/>
                <w:b/>
                <w:bCs/>
                <w:lang w:val="lt-LT"/>
              </w:rPr>
              <w:t>49</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48</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49</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50</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0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8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52</w:t>
            </w:r>
          </w:p>
        </w:tc>
        <w:tc>
          <w:tcPr>
            <w:tcW w:w="7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7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51</w:t>
            </w:r>
          </w:p>
        </w:tc>
        <w:tc>
          <w:tcPr>
            <w:tcW w:w="8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val="0"/>
              <w:tabs>
                <w:tab w:val="left" w:pos="1276"/>
              </w:tabs>
              <w:spacing w:after="0" w:line="252" w:lineRule="auto"/>
              <w:jc w:val="center"/>
              <w:rPr>
                <w:rFonts w:hAnsi="Times New Roman" w:eastAsia="Times New Roman" w:cs="Times New Roman" w:asciiTheme="minorHAnsi"/>
                <w:b/>
                <w:bCs/>
                <w:lang w:val="lt-LT"/>
              </w:rPr>
            </w:pPr>
            <w:r>
              <w:rPr>
                <w:rFonts w:hAnsi="Times New Roman" w:eastAsia="Times New Roman" w:cs="Times New Roman" w:asciiTheme="minorHAnsi"/>
                <w:b/>
                <w:bCs/>
                <w:lang w:val="lt-LT"/>
              </w:rPr>
              <w:t>707</w:t>
            </w:r>
          </w:p>
        </w:tc>
      </w:tr>
    </w:tbl>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Pastabos: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*valandos mokinių ugdymo poreikiams tenkinti;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**integruojama į kitus mokomuosius dalykus; </w:t>
      </w:r>
    </w:p>
    <w:p>
      <w:pPr>
        <w:tabs>
          <w:tab w:val="left" w:pos="1276"/>
        </w:tabs>
        <w:spacing w:after="0" w:line="240" w:lineRule="auto"/>
        <w:ind w:firstLine="709"/>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nėra įskaičiuojama į mokinio mokymosi krūvį.</w:t>
      </w:r>
    </w:p>
    <w:tbl>
      <w:tblPr>
        <w:tblStyle w:val="26"/>
        <w:tblpPr w:leftFromText="180" w:rightFromText="180" w:vertAnchor="text" w:tblpY="801"/>
        <w:tblW w:w="10029" w:type="dxa"/>
        <w:tblInd w:w="0" w:type="dxa"/>
        <w:tblLayout w:type="fixed"/>
        <w:tblCellMar>
          <w:top w:w="0" w:type="dxa"/>
          <w:left w:w="108" w:type="dxa"/>
          <w:bottom w:w="0" w:type="dxa"/>
          <w:right w:w="108" w:type="dxa"/>
        </w:tblCellMar>
      </w:tblPr>
      <w:tblGrid>
        <w:gridCol w:w="4395"/>
        <w:gridCol w:w="5634"/>
      </w:tblGrid>
      <w:tr>
        <w:tblPrEx>
          <w:tblLayout w:type="fixed"/>
          <w:tblCellMar>
            <w:top w:w="0" w:type="dxa"/>
            <w:left w:w="108" w:type="dxa"/>
            <w:bottom w:w="0" w:type="dxa"/>
            <w:right w:w="108" w:type="dxa"/>
          </w:tblCellMar>
        </w:tblPrEx>
        <w:tc>
          <w:tcPr>
            <w:tcW w:w="4395" w:type="dxa"/>
            <w:shd w:val="clear" w:color="auto" w:fill="auto"/>
            <w:tcMar>
              <w:top w:w="0" w:type="dxa"/>
              <w:left w:w="108" w:type="dxa"/>
              <w:bottom w:w="0" w:type="dxa"/>
              <w:right w:w="108" w:type="dxa"/>
            </w:tcMar>
          </w:tcPr>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SUDERINTA</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Klaipėdos uostamiesčio</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progimnazijos tarybos</w:t>
            </w:r>
          </w:p>
          <w:p>
            <w:pPr>
              <w:widowControl w:val="0"/>
              <w:tabs>
                <w:tab w:val="left" w:pos="9360"/>
                <w:tab w:val="left" w:pos="10080"/>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2026 m. rugpjūčio 21 d.</w:t>
            </w:r>
          </w:p>
          <w:p>
            <w:pPr>
              <w:widowControl w:val="0"/>
              <w:tabs>
                <w:tab w:val="left" w:pos="1276"/>
              </w:tabs>
              <w:spacing w:after="0" w:line="240" w:lineRule="auto"/>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protokoliniu nutarimu (protokolas Nr. 5)</w:t>
            </w:r>
          </w:p>
        </w:tc>
        <w:tc>
          <w:tcPr>
            <w:tcW w:w="5634" w:type="dxa"/>
            <w:shd w:val="clear" w:color="auto" w:fill="auto"/>
            <w:tcMar>
              <w:top w:w="0" w:type="dxa"/>
              <w:left w:w="108" w:type="dxa"/>
              <w:bottom w:w="0" w:type="dxa"/>
              <w:right w:w="108" w:type="dxa"/>
            </w:tcMar>
          </w:tcPr>
          <w:p>
            <w:pPr>
              <w:widowControl w:val="0"/>
              <w:spacing w:after="0" w:line="240" w:lineRule="auto"/>
              <w:ind w:firstLine="720"/>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SUDERINTA</w:t>
            </w:r>
          </w:p>
          <w:p>
            <w:pPr>
              <w:widowControl w:val="0"/>
              <w:tabs>
                <w:tab w:val="left" w:pos="2871"/>
              </w:tabs>
              <w:spacing w:after="0" w:line="240" w:lineRule="auto"/>
              <w:ind w:left="745"/>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 xml:space="preserve">Klaipėdos miesto savivaldybės administracijos Švietimo ir sveikatos departamento </w:t>
            </w:r>
          </w:p>
          <w:p>
            <w:pPr>
              <w:widowControl w:val="0"/>
              <w:tabs>
                <w:tab w:val="left" w:pos="2871"/>
              </w:tabs>
              <w:spacing w:after="0" w:line="240" w:lineRule="auto"/>
              <w:ind w:left="745"/>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Švietimo skyriaus vedėja</w:t>
            </w:r>
          </w:p>
          <w:p>
            <w:pPr>
              <w:widowControl w:val="0"/>
              <w:spacing w:after="0" w:line="240" w:lineRule="auto"/>
              <w:ind w:firstLine="720"/>
              <w:rPr>
                <w:rFonts w:ascii="Times New Roman" w:hAnsi="Times New Roman" w:eastAsia="Times New Roman" w:cs="Times New Roman"/>
                <w:color w:val="FF0000"/>
                <w:sz w:val="24"/>
                <w:szCs w:val="24"/>
                <w:lang w:val="lt-LT"/>
              </w:rPr>
            </w:pPr>
            <w:r>
              <w:rPr>
                <w:rFonts w:ascii="Times New Roman" w:hAnsi="Times New Roman" w:eastAsia="Times New Roman" w:cs="Times New Roman"/>
                <w:sz w:val="24"/>
                <w:szCs w:val="24"/>
                <w:lang w:val="lt-LT"/>
              </w:rPr>
              <w:t>Vida Bubliauskienė</w:t>
            </w:r>
          </w:p>
          <w:p>
            <w:pPr>
              <w:widowControl w:val="0"/>
              <w:spacing w:after="0" w:line="240" w:lineRule="auto"/>
              <w:ind w:firstLine="720"/>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2026 m. rugpjūčio 25  d.</w:t>
            </w: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p>
            <w:pPr>
              <w:widowControl w:val="0"/>
              <w:spacing w:after="0" w:line="240" w:lineRule="auto"/>
              <w:ind w:firstLine="720"/>
              <w:rPr>
                <w:rFonts w:ascii="Times New Roman" w:hAnsi="Times New Roman" w:eastAsia="Times New Roman" w:cs="Times New Roman"/>
                <w:sz w:val="24"/>
                <w:szCs w:val="24"/>
                <w:lang w:val="lt-LT"/>
              </w:rPr>
            </w:pPr>
          </w:p>
        </w:tc>
      </w:tr>
    </w:tbl>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spacing w:after="0"/>
        <w:rPr>
          <w:lang w:val="lt-LT"/>
        </w:rPr>
      </w:pPr>
    </w:p>
    <w:p>
      <w:pPr>
        <w:rPr>
          <w:lang w:val="lt-LT"/>
        </w:rPr>
      </w:pPr>
      <w:r>
        <w:rPr>
          <w:lang w:val="lt-LT"/>
        </w:rPr>
        <w:br w:type="page"/>
      </w:r>
    </w:p>
    <w:p>
      <w:pPr>
        <w:spacing w:after="0"/>
        <w:jc w:val="right"/>
        <w:rPr>
          <w:rFonts w:ascii="Times New Roman" w:hAnsi="Times New Roman" w:eastAsia="Times New Roman" w:cs="Times New Roman"/>
          <w:lang w:val="lt-LT"/>
        </w:rPr>
      </w:pPr>
      <w:r>
        <w:rPr>
          <w:rFonts w:ascii="Times New Roman" w:hAnsi="Times New Roman" w:eastAsia="Times New Roman" w:cs="Times New Roman"/>
          <w:lang w:val="lt-LT"/>
        </w:rPr>
        <w:t>1 priedas</w:t>
      </w:r>
    </w:p>
    <w:p>
      <w:pPr>
        <w:spacing w:after="0" w:line="240" w:lineRule="auto"/>
        <w:ind w:right="389"/>
        <w:jc w:val="center"/>
        <w:rPr>
          <w:rFonts w:ascii="Times New Roman" w:hAnsi="Times New Roman" w:eastAsia="Times New Roman" w:cs="Times New Roman"/>
          <w:b/>
          <w:color w:val="222222"/>
          <w:sz w:val="24"/>
          <w:szCs w:val="24"/>
          <w:shd w:val="clear" w:color="auto" w:fill="FFFFFF"/>
          <w:lang w:val="lt-LT" w:eastAsia="zh-CN"/>
        </w:rPr>
      </w:pPr>
      <w:r>
        <w:rPr>
          <w:rFonts w:ascii="Times New Roman" w:hAnsi="Times New Roman" w:eastAsia="Times New Roman" w:cs="Times New Roman"/>
          <w:b/>
          <w:color w:val="222222"/>
          <w:sz w:val="24"/>
          <w:szCs w:val="24"/>
          <w:shd w:val="clear" w:color="auto" w:fill="FFFFFF"/>
          <w:lang w:val="lt-LT" w:eastAsia="zh-CN"/>
        </w:rPr>
        <w:t>PROGIMNAZIJOS UGDYMO PROCESO ORGANIZAVIMO KALENDORIUS 2026–2027 M. M.</w:t>
      </w:r>
    </w:p>
    <w:tbl>
      <w:tblPr>
        <w:tblStyle w:val="14"/>
        <w:tblW w:w="1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7"/>
        <w:gridCol w:w="3661"/>
        <w:gridCol w:w="3635"/>
        <w:gridCol w:w="3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Rugsėjis </w:t>
            </w:r>
            <w:r>
              <w:rPr>
                <w:rFonts w:ascii="Times New Roman" w:hAnsi="Times New Roman" w:cs="Times New Roman"/>
                <w:bCs/>
                <w:iCs/>
                <w:lang w:val="lt-LT" w:eastAsia="zh-CN"/>
              </w:rPr>
              <w:t>2026</w:t>
            </w:r>
          </w:p>
        </w:tc>
        <w:tc>
          <w:tcPr>
            <w:tcW w:w="3661"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Spalis </w:t>
            </w:r>
            <w:r>
              <w:rPr>
                <w:rFonts w:ascii="Times New Roman" w:hAnsi="Times New Roman" w:cs="Times New Roman"/>
                <w:bCs/>
                <w:iCs/>
                <w:lang w:val="lt-LT" w:eastAsia="zh-CN"/>
              </w:rPr>
              <w:t>2026</w:t>
            </w:r>
          </w:p>
        </w:tc>
        <w:tc>
          <w:tcPr>
            <w:tcW w:w="3635" w:type="dxa"/>
            <w:shd w:val="clear" w:color="auto" w:fill="FAFCAE"/>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Lapkritis </w:t>
            </w:r>
            <w:r>
              <w:rPr>
                <w:rFonts w:ascii="Times New Roman" w:hAnsi="Times New Roman" w:cs="Times New Roman"/>
                <w:bCs/>
                <w:iCs/>
                <w:lang w:val="lt-LT" w:eastAsia="zh-CN"/>
              </w:rPr>
              <w:t>2026</w:t>
            </w:r>
          </w:p>
        </w:tc>
        <w:tc>
          <w:tcPr>
            <w:tcW w:w="3667" w:type="dxa"/>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Gruodis </w:t>
            </w:r>
            <w:r>
              <w:rPr>
                <w:rFonts w:ascii="Times New Roman" w:hAnsi="Times New Roman" w:cs="Times New Roman"/>
                <w:bCs/>
                <w:iCs/>
                <w:lang w:val="lt-LT" w:eastAsia="zh-CN"/>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385"/>
              <w:gridCol w:w="464"/>
              <w:gridCol w:w="464"/>
              <w:gridCol w:w="464"/>
              <w:gridCol w:w="456"/>
              <w:gridCol w:w="408"/>
              <w:gridCol w:w="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385"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385"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64"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56" w:type="dxa"/>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56" w:type="dxa"/>
                </w:tcPr>
                <w:p>
                  <w:pPr>
                    <w:spacing w:after="0" w:line="240" w:lineRule="auto"/>
                    <w:jc w:val="center"/>
                    <w:rPr>
                      <w:rFonts w:ascii="Times New Roman" w:hAnsi="Times New Roman" w:cs="Times New Roman"/>
                      <w:lang w:val="lt-LT" w:eastAsia="zh-CN"/>
                    </w:rPr>
                  </w:pP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38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56" w:type="dxa"/>
                </w:tcPr>
                <w:p>
                  <w:pPr>
                    <w:spacing w:after="0" w:line="240" w:lineRule="auto"/>
                    <w:jc w:val="center"/>
                    <w:rPr>
                      <w:rFonts w:ascii="Times New Roman" w:hAnsi="Times New Roman" w:cs="Times New Roman"/>
                      <w:lang w:val="lt-LT" w:eastAsia="zh-CN"/>
                    </w:rPr>
                  </w:pPr>
                </w:p>
              </w:tc>
              <w:tc>
                <w:tcPr>
                  <w:tcW w:w="408" w:type="dxa"/>
                  <w:shd w:val="clear" w:color="auto" w:fill="auto"/>
                  <w:vAlign w:val="center"/>
                </w:tcPr>
                <w:p>
                  <w:pPr>
                    <w:spacing w:after="0" w:line="240" w:lineRule="auto"/>
                    <w:jc w:val="center"/>
                    <w:rPr>
                      <w:rFonts w:ascii="Times New Roman" w:hAnsi="Times New Roman" w:cs="Times New Roman"/>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38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26</w:t>
                  </w:r>
                </w:p>
              </w:tc>
              <w:tc>
                <w:tcPr>
                  <w:tcW w:w="456" w:type="dxa"/>
                </w:tcPr>
                <w:p>
                  <w:pPr>
                    <w:spacing w:after="0" w:line="240" w:lineRule="auto"/>
                    <w:jc w:val="center"/>
                    <w:rPr>
                      <w:rFonts w:ascii="Times New Roman" w:hAnsi="Times New Roman" w:cs="Times New Roman"/>
                      <w:color w:val="FF0000"/>
                      <w:lang w:val="lt-LT" w:eastAsia="zh-CN"/>
                    </w:rPr>
                  </w:pPr>
                </w:p>
              </w:tc>
              <w:tc>
                <w:tcPr>
                  <w:tcW w:w="408"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38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56" w:type="dxa"/>
                </w:tcPr>
                <w:p>
                  <w:pPr>
                    <w:spacing w:after="0" w:line="240" w:lineRule="auto"/>
                    <w:jc w:val="center"/>
                    <w:rPr>
                      <w:rFonts w:ascii="Times New Roman" w:hAnsi="Times New Roman" w:cs="Times New Roman"/>
                      <w:color w:val="FF0000"/>
                      <w:lang w:val="lt-LT" w:eastAsia="zh-CN"/>
                    </w:rPr>
                  </w:pPr>
                </w:p>
              </w:tc>
              <w:tc>
                <w:tcPr>
                  <w:tcW w:w="408"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308"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1" w:type="dxa"/>
            <w:tcBorders>
              <w:bottom w:val="single" w:color="auto" w:sz="4" w:space="0"/>
            </w:tcBorders>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465"/>
              <w:gridCol w:w="496"/>
              <w:gridCol w:w="496"/>
              <w:gridCol w:w="496"/>
              <w:gridCol w:w="496"/>
              <w:gridCol w:w="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96"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20</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5"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96"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6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31</w:t>
                  </w: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3"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65"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4</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11</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18</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25</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9"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35"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FF0000"/>
                  <w:vAlign w:val="center"/>
                </w:tcPr>
                <w:p>
                  <w:pPr>
                    <w:spacing w:after="0" w:line="240" w:lineRule="auto"/>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FFFF00"/>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B4C6E7" w:themeFill="accent5" w:themeFillTint="66"/>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00FFFF"/>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FF0000"/>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8</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15</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22</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7"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464"/>
              <w:gridCol w:w="496"/>
              <w:gridCol w:w="496"/>
              <w:gridCol w:w="496"/>
              <w:gridCol w:w="496"/>
              <w:gridCol w:w="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96" w:type="dxa"/>
                  <w:shd w:val="clear" w:color="auto" w:fill="F7CAAC" w:themeFill="accent2"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96"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24</w:t>
                  </w:r>
                </w:p>
              </w:tc>
              <w:tc>
                <w:tcPr>
                  <w:tcW w:w="496" w:type="dxa"/>
                  <w:shd w:val="clear" w:color="auto" w:fill="00B0F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31</w:t>
                  </w: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64"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96"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25</w:t>
                  </w:r>
                </w:p>
              </w:tc>
              <w:tc>
                <w:tcPr>
                  <w:tcW w:w="496" w:type="dxa"/>
                  <w:shd w:val="clear" w:color="auto" w:fill="auto"/>
                  <w:vAlign w:val="center"/>
                </w:tcPr>
                <w:p>
                  <w:pPr>
                    <w:spacing w:after="0" w:line="240" w:lineRule="auto"/>
                    <w:jc w:val="center"/>
                    <w:rPr>
                      <w:rFonts w:ascii="Times New Roman" w:hAnsi="Times New Roman" w:cs="Times New Roman"/>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477"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96" w:type="dxa"/>
                  <w:shd w:val="clear" w:color="auto" w:fill="FF0000"/>
                  <w:vAlign w:val="center"/>
                </w:tcPr>
                <w:p>
                  <w:pPr>
                    <w:spacing w:after="0" w:line="240" w:lineRule="auto"/>
                    <w:jc w:val="center"/>
                    <w:rPr>
                      <w:rFonts w:ascii="Times New Roman" w:hAnsi="Times New Roman" w:cs="Times New Roman"/>
                      <w:color w:val="FFFFFF" w:themeColor="background1"/>
                      <w:lang w:val="lt-LT" w:eastAsia="zh-CN"/>
                      <w14:textFill>
                        <w14:solidFill>
                          <w14:schemeClr w14:val="bg1"/>
                        </w14:solidFill>
                      </w14:textFill>
                    </w:rPr>
                  </w:pPr>
                  <w:r>
                    <w:rPr>
                      <w:rFonts w:ascii="Times New Roman" w:hAnsi="Times New Roman" w:cs="Times New Roman"/>
                      <w:color w:val="FFFFFF" w:themeColor="background1"/>
                      <w:lang w:val="lt-LT" w:eastAsia="zh-CN"/>
                      <w14:textFill>
                        <w14:solidFill>
                          <w14:schemeClr w14:val="bg1"/>
                        </w14:solidFill>
                      </w14:textFill>
                    </w:rPr>
                    <w:t>26</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77" w:type="dxa"/>
                  <w:shd w:val="clear" w:color="auto" w:fill="auto"/>
                  <w:vAlign w:val="center"/>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64"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96"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47" w:type="dxa"/>
                  <w:shd w:val="clear" w:color="auto" w:fill="auto"/>
                  <w:vAlign w:val="center"/>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Sausis </w:t>
            </w:r>
            <w:r>
              <w:rPr>
                <w:rFonts w:ascii="Times New Roman" w:hAnsi="Times New Roman" w:cs="Times New Roman"/>
                <w:bCs/>
                <w:iCs/>
                <w:lang w:val="lt-LT" w:eastAsia="zh-CN"/>
              </w:rPr>
              <w:t>2027</w:t>
            </w:r>
          </w:p>
        </w:tc>
        <w:tc>
          <w:tcPr>
            <w:tcW w:w="3661" w:type="dxa"/>
            <w:tcBorders>
              <w:bottom w:val="nil"/>
            </w:tcBorders>
            <w:shd w:val="clear" w:color="auto" w:fill="D0F7FC"/>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Vasaris </w:t>
            </w:r>
            <w:r>
              <w:rPr>
                <w:rFonts w:ascii="Times New Roman" w:hAnsi="Times New Roman" w:cs="Times New Roman"/>
                <w:bCs/>
                <w:iCs/>
                <w:lang w:val="lt-LT" w:eastAsia="zh-CN"/>
              </w:rPr>
              <w:t>2027</w:t>
            </w:r>
          </w:p>
        </w:tc>
        <w:tc>
          <w:tcPr>
            <w:tcW w:w="3635"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Kovas </w:t>
            </w:r>
            <w:r>
              <w:rPr>
                <w:rFonts w:ascii="Times New Roman" w:hAnsi="Times New Roman" w:cs="Times New Roman"/>
                <w:bCs/>
                <w:iCs/>
                <w:lang w:val="lt-LT" w:eastAsia="zh-CN"/>
              </w:rPr>
              <w:t>2027</w:t>
            </w:r>
          </w:p>
        </w:tc>
        <w:tc>
          <w:tcPr>
            <w:tcW w:w="3667"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Balandis </w:t>
            </w:r>
            <w:r>
              <w:rPr>
                <w:rFonts w:ascii="Times New Roman" w:hAnsi="Times New Roman" w:cs="Times New Roman"/>
                <w:bCs/>
                <w:iCs/>
                <w:lang w:val="lt-LT" w:eastAsia="zh-CN"/>
              </w:rPr>
              <w:t>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tcPr>
                <w:p>
                  <w:pPr>
                    <w:spacing w:after="0" w:line="240" w:lineRule="auto"/>
                    <w:rPr>
                      <w:rFonts w:ascii="Times New Roman" w:hAnsi="Times New Roman" w:cs="Times New Roman"/>
                      <w:lang w:val="lt-LT" w:eastAsia="zh-CN"/>
                    </w:rPr>
                  </w:pP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FF0000"/>
                </w:tcPr>
                <w:p>
                  <w:pPr>
                    <w:spacing w:after="0" w:line="240" w:lineRule="auto"/>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tcPr>
                <w:p>
                  <w:pPr>
                    <w:spacing w:after="0" w:line="240" w:lineRule="auto"/>
                    <w:rPr>
                      <w:rFonts w:ascii="Times New Roman" w:hAnsi="Times New Roman" w:cs="Times New Roman"/>
                      <w:b/>
                      <w:u w:val="single"/>
                      <w:lang w:val="lt-LT" w:eastAsia="zh-CN"/>
                    </w:rPr>
                  </w:pPr>
                  <w:r>
                    <w:rPr>
                      <w:rFonts w:ascii="Times New Roman" w:hAnsi="Times New Roman" w:cs="Times New Roman"/>
                      <w:b/>
                      <w:u w:val="single"/>
                      <w:lang w:val="lt-LT" w:eastAsia="zh-CN"/>
                    </w:rPr>
                    <w:t>22</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9</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16</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23</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30</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82"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31</w:t>
                  </w:r>
                </w:p>
              </w:tc>
              <w:tc>
                <w:tcPr>
                  <w:tcW w:w="482" w:type="dxa"/>
                  <w:shd w:val="clear" w:color="auto" w:fill="auto"/>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1" w:type="dxa"/>
            <w:tcBorders>
              <w:top w:val="nil"/>
            </w:tcBorders>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1"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1"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28</w:t>
                  </w:r>
                </w:p>
              </w:tc>
              <w:tc>
                <w:tcPr>
                  <w:tcW w:w="482" w:type="dxa"/>
                  <w:shd w:val="clear" w:color="auto" w:fill="auto"/>
                  <w:vAlign w:val="center"/>
                </w:tcPr>
                <w:p>
                  <w:pPr>
                    <w:spacing w:after="0" w:line="240" w:lineRule="auto"/>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35"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11</w:t>
                  </w:r>
                </w:p>
              </w:tc>
              <w:tc>
                <w:tcPr>
                  <w:tcW w:w="482"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FA82E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00FFFF"/>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21</w:t>
                  </w:r>
                </w:p>
              </w:tc>
              <w:tc>
                <w:tcPr>
                  <w:tcW w:w="482" w:type="dxa"/>
                  <w:shd w:val="clear" w:color="auto" w:fill="FF0000"/>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28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c>
          <w:tcPr>
            <w:tcW w:w="3667" w:type="dxa"/>
            <w:shd w:val="clear" w:color="auto" w:fill="auto"/>
          </w:tcPr>
          <w:tbl>
            <w:tblPr>
              <w:tblStyle w:val="14"/>
              <w:tblW w:w="3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2"/>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color w:val="548235" w:themeColor="accent6" w:themeShade="BF"/>
                      <w:lang w:val="lt-LT" w:eastAsia="zh-CN"/>
                    </w:rPr>
                  </w:pPr>
                  <w:r>
                    <w:rPr>
                      <w:rFonts w:ascii="Times New Roman" w:hAnsi="Times New Roman" w:cs="Times New Roman"/>
                      <w:color w:val="548235" w:themeColor="accent6" w:themeShade="BF"/>
                      <w:lang w:val="lt-LT" w:eastAsia="zh-CN"/>
                    </w:rPr>
                    <w:t>1</w:t>
                  </w:r>
                </w:p>
              </w:tc>
              <w:tc>
                <w:tcPr>
                  <w:tcW w:w="482" w:type="dxa"/>
                  <w:shd w:val="clear" w:color="auto" w:fill="B4C6E7" w:themeFill="accent5"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color w:val="548235" w:themeColor="accent6" w:themeShade="BF"/>
                      <w:lang w:val="lt-LT" w:eastAsia="zh-CN"/>
                    </w:rPr>
                  </w:pPr>
                  <w:r>
                    <w:rPr>
                      <w:rFonts w:ascii="Times New Roman" w:hAnsi="Times New Roman" w:cs="Times New Roman"/>
                      <w:color w:val="548235" w:themeColor="accent6" w:themeShade="BF"/>
                      <w:lang w:val="lt-LT" w:eastAsia="zh-CN"/>
                    </w:rPr>
                    <w:t>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4</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7" w:type="dxa"/>
            <w:shd w:val="clear" w:color="auto" w:fill="B5FDC1"/>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Gegužė </w:t>
            </w:r>
            <w:r>
              <w:rPr>
                <w:rFonts w:ascii="Times New Roman" w:hAnsi="Times New Roman" w:cs="Times New Roman"/>
                <w:bCs/>
                <w:iCs/>
                <w:lang w:val="lt-LT" w:eastAsia="zh-CN"/>
              </w:rPr>
              <w:t>2027</w:t>
            </w:r>
          </w:p>
        </w:tc>
        <w:tc>
          <w:tcPr>
            <w:tcW w:w="3661" w:type="dxa"/>
            <w:shd w:val="clear" w:color="auto" w:fill="FDE3F7"/>
          </w:tcPr>
          <w:p>
            <w:pPr>
              <w:keepNext/>
              <w:spacing w:after="0" w:line="240" w:lineRule="auto"/>
              <w:jc w:val="center"/>
              <w:outlineLvl w:val="0"/>
              <w:rPr>
                <w:rFonts w:ascii="Times New Roman" w:hAnsi="Times New Roman" w:cs="Times New Roman"/>
                <w:b/>
                <w:bCs/>
                <w:iCs/>
                <w:lang w:val="lt-LT" w:eastAsia="zh-CN"/>
              </w:rPr>
            </w:pPr>
            <w:r>
              <w:rPr>
                <w:rFonts w:ascii="Times New Roman" w:hAnsi="Times New Roman" w:cs="Times New Roman"/>
                <w:b/>
                <w:bCs/>
                <w:iCs/>
                <w:lang w:val="lt-LT" w:eastAsia="zh-CN"/>
              </w:rPr>
              <w:t xml:space="preserve">Birželis </w:t>
            </w:r>
            <w:r>
              <w:rPr>
                <w:rFonts w:ascii="Times New Roman" w:hAnsi="Times New Roman" w:cs="Times New Roman"/>
                <w:bCs/>
                <w:iCs/>
                <w:lang w:val="lt-LT" w:eastAsia="zh-CN"/>
              </w:rPr>
              <w:t>2027</w:t>
            </w:r>
          </w:p>
        </w:tc>
        <w:tc>
          <w:tcPr>
            <w:tcW w:w="7302" w:type="dxa"/>
            <w:gridSpan w:val="2"/>
            <w:vMerge w:val="restart"/>
            <w:shd w:val="clear" w:color="auto" w:fill="auto"/>
          </w:tcPr>
          <w:p>
            <w:pPr>
              <w:shd w:val="clear" w:color="auto" w:fill="A8D08D" w:themeFill="accent6" w:themeFillTint="99"/>
              <w:spacing w:after="0" w:line="276" w:lineRule="auto"/>
              <w:jc w:val="both"/>
              <w:rPr>
                <w:rFonts w:ascii="Times New Roman" w:hAnsi="Times New Roman" w:cs="Times New Roman"/>
                <w:lang w:val="lt-LT" w:eastAsia="zh-CN"/>
              </w:rPr>
            </w:pPr>
            <w:r>
              <w:rPr>
                <w:rFonts w:ascii="Times New Roman" w:hAnsi="Times New Roman" w:cs="Times New Roman"/>
                <w:highlight w:val="green"/>
                <w:lang w:val="lt-LT" w:eastAsia="zh-CN"/>
              </w:rPr>
              <w:t>*</w:t>
            </w:r>
            <w:r>
              <w:rPr>
                <w:rFonts w:ascii="Times New Roman" w:hAnsi="Times New Roman" w:cs="Times New Roman"/>
                <w:highlight w:val="green"/>
                <w:shd w:val="clear" w:color="auto" w:fill="26E245"/>
                <w:lang w:val="lt-LT" w:eastAsia="zh-CN"/>
              </w:rPr>
              <w:t xml:space="preserve"> </w:t>
            </w:r>
            <w:r>
              <w:rPr>
                <w:rFonts w:ascii="Times New Roman" w:hAnsi="Times New Roman" w:cs="Times New Roman"/>
                <w:highlight w:val="green"/>
                <w:lang w:val="lt-LT" w:eastAsia="zh-CN"/>
              </w:rPr>
              <w:t>Ugdymas vykdomas ne pamokų forma:</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shd w:val="clear" w:color="auto" w:fill="A8D08D" w:themeFill="accent6" w:themeFillTint="99"/>
                <w:lang w:val="lt-LT" w:eastAsia="zh-CN"/>
              </w:rPr>
              <w:t>09-01</w:t>
            </w:r>
            <w:r>
              <w:rPr>
                <w:rFonts w:ascii="Times New Roman" w:hAnsi="Times New Roman" w:cs="Times New Roman"/>
                <w:lang w:val="lt-LT" w:eastAsia="zh-CN"/>
              </w:rPr>
              <w:t xml:space="preserve">  Mokslo ir žinių diena 1−8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lang w:val="lt-LT" w:eastAsia="zh-CN"/>
              </w:rPr>
              <w:t>09-02</w:t>
            </w:r>
            <w:r>
              <w:rPr>
                <w:rFonts w:ascii="Times New Roman" w:hAnsi="Times New Roman" w:cs="Times New Roman"/>
                <w:lang w:val="lt-LT" w:eastAsia="zh-CN"/>
              </w:rPr>
              <w:t xml:space="preserve">  Ugdymas kitoje aplinkoje;</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shd w:val="clear" w:color="auto" w:fill="24FC57"/>
                <w:lang w:val="lt-LT" w:eastAsia="zh-CN"/>
              </w:rPr>
              <w:t>09-16</w:t>
            </w:r>
            <w:r>
              <w:rPr>
                <w:rFonts w:ascii="Times New Roman" w:hAnsi="Times New Roman" w:cs="Times New Roman"/>
                <w:lang w:val="lt-LT" w:eastAsia="zh-CN"/>
              </w:rPr>
              <w:t xml:space="preserve">   Žygio diena, skirta Pasaulinei turizmo dienai paminėti;</w:t>
            </w:r>
          </w:p>
          <w:p>
            <w:pPr>
              <w:spacing w:after="0" w:line="276" w:lineRule="auto"/>
              <w:ind w:left="1306" w:hanging="1306"/>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highlight w:val="green"/>
                <w:shd w:val="clear" w:color="auto" w:fill="92D050"/>
                <w:lang w:val="lt-LT" w:eastAsia="zh-CN"/>
              </w:rPr>
              <w:t>12-17</w:t>
            </w:r>
            <w:r>
              <w:rPr>
                <w:rFonts w:ascii="Times New Roman" w:hAnsi="Times New Roman" w:cs="Times New Roman"/>
                <w:lang w:val="lt-LT" w:eastAsia="zh-CN"/>
              </w:rPr>
              <w:t xml:space="preserve">   Kultūrinė veikla. Šv. Kalėdų ir Naujųjų metų renginiai (1−4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2026-</w:t>
            </w:r>
            <w:r>
              <w:rPr>
                <w:rFonts w:ascii="Times New Roman" w:hAnsi="Times New Roman" w:cs="Times New Roman"/>
                <w:shd w:val="clear" w:color="auto" w:fill="2FF146"/>
                <w:lang w:val="lt-LT" w:eastAsia="zh-CN"/>
              </w:rPr>
              <w:t>12-18</w:t>
            </w:r>
            <w:r>
              <w:rPr>
                <w:rFonts w:ascii="Times New Roman" w:hAnsi="Times New Roman" w:cs="Times New Roman"/>
                <w:lang w:val="lt-LT" w:eastAsia="zh-CN"/>
              </w:rPr>
              <w:t xml:space="preserve">   Kultūrinė veikla. Šv. Kalėdų ir Naujųjų metų renginiai (5−8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lang w:val="lt-LT" w:eastAsia="zh-CN"/>
              </w:rPr>
              <w:t>06-08</w:t>
            </w:r>
            <w:r>
              <w:rPr>
                <w:rFonts w:ascii="Times New Roman" w:hAnsi="Times New Roman" w:cs="Times New Roman"/>
                <w:lang w:val="lt-LT" w:eastAsia="zh-CN"/>
              </w:rPr>
              <w:t xml:space="preserve">   Integruotos veiklos diena.  Edukacinės išvykos (1−4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lang w:val="lt-LT" w:eastAsia="zh-CN"/>
              </w:rPr>
              <w:t>06-09</w:t>
            </w:r>
            <w:r>
              <w:rPr>
                <w:rFonts w:ascii="Times New Roman" w:hAnsi="Times New Roman" w:cs="Times New Roman"/>
                <w:lang w:val="lt-LT" w:eastAsia="zh-CN"/>
              </w:rPr>
              <w:t xml:space="preserve">   ,,Sudie, mokykla, sveika, vasara!“ (1−4 kl.);</w:t>
            </w:r>
          </w:p>
          <w:p>
            <w:pPr>
              <w:spacing w:after="0" w:line="276" w:lineRule="auto"/>
              <w:ind w:left="832" w:hanging="832"/>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highlight w:val="green"/>
                <w:shd w:val="clear" w:color="auto" w:fill="92D050"/>
                <w:lang w:val="lt-LT" w:eastAsia="zh-CN"/>
              </w:rPr>
              <w:t>06-15</w:t>
            </w:r>
            <w:r>
              <w:rPr>
                <w:rFonts w:ascii="Times New Roman" w:hAnsi="Times New Roman" w:cs="Times New Roman"/>
                <w:lang w:val="lt-LT" w:eastAsia="zh-CN"/>
              </w:rPr>
              <w:t xml:space="preserve">   Integruotos veiklos diena.  Edukacinės išvykos (5−8 kl.);</w:t>
            </w:r>
          </w:p>
          <w:p>
            <w:pPr>
              <w:spacing w:after="0" w:line="276" w:lineRule="auto"/>
              <w:jc w:val="both"/>
              <w:rPr>
                <w:rFonts w:ascii="Times New Roman" w:hAnsi="Times New Roman" w:cs="Times New Roman"/>
                <w:lang w:val="lt-LT" w:eastAsia="zh-CN"/>
              </w:rPr>
            </w:pPr>
            <w:r>
              <w:rPr>
                <w:rFonts w:ascii="Times New Roman" w:hAnsi="Times New Roman" w:cs="Times New Roman"/>
                <w:lang w:val="lt-LT" w:eastAsia="zh-CN"/>
              </w:rPr>
              <w:t>2027-</w:t>
            </w:r>
            <w:r>
              <w:rPr>
                <w:rFonts w:ascii="Times New Roman" w:hAnsi="Times New Roman" w:cs="Times New Roman"/>
                <w:shd w:val="clear" w:color="auto" w:fill="2FF146"/>
                <w:lang w:val="lt-LT" w:eastAsia="zh-CN"/>
              </w:rPr>
              <w:t>06-16</w:t>
            </w:r>
            <w:r>
              <w:rPr>
                <w:rFonts w:ascii="Times New Roman" w:hAnsi="Times New Roman" w:cs="Times New Roman"/>
                <w:lang w:val="lt-LT" w:eastAsia="zh-CN"/>
              </w:rPr>
              <w:t xml:space="preserve">   ,,Sudie, mokykla, sveika, vasara!“ (5−8 kl.)</w:t>
            </w:r>
          </w:p>
          <w:p>
            <w:pPr>
              <w:spacing w:after="0" w:line="276" w:lineRule="auto"/>
              <w:jc w:val="both"/>
              <w:rPr>
                <w:rFonts w:ascii="Times New Roman" w:hAnsi="Times New Roman" w:cs="Times New Roman"/>
                <w:shd w:val="clear" w:color="auto" w:fill="FFFF00"/>
                <w:lang w:val="lt-LT" w:eastAsia="zh-CN"/>
              </w:rPr>
            </w:pPr>
            <w:r>
              <w:rPr>
                <w:rFonts w:ascii="Times New Roman" w:hAnsi="Times New Roman" w:cs="Times New Roman"/>
                <w:highlight w:val="yellow"/>
                <w:shd w:val="clear" w:color="auto" w:fill="FFFF00"/>
                <w:lang w:val="lt-LT" w:eastAsia="zh-CN"/>
              </w:rPr>
              <w:t>* Patirtinis</w:t>
            </w:r>
            <w:r>
              <w:rPr>
                <w:rFonts w:ascii="Times New Roman" w:hAnsi="Times New Roman" w:cs="Times New Roman"/>
                <w:shd w:val="clear" w:color="auto" w:fill="FFFF00"/>
                <w:lang w:val="lt-LT" w:eastAsia="zh-CN"/>
              </w:rPr>
              <w:t xml:space="preserve"> ugdymas</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10-12</w:t>
            </w:r>
            <w:r>
              <w:rPr>
                <w:rFonts w:ascii="Times New Roman" w:hAnsi="Times New Roman" w:cs="Times New Roman"/>
                <w:shd w:val="clear" w:color="auto" w:fill="FFFFFF" w:themeFill="background1"/>
                <w:lang w:val="lt-LT" w:eastAsia="zh-CN"/>
              </w:rPr>
              <w:t xml:space="preserve">  Patirtinio ugdymo programos aptarimas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10-30</w:t>
            </w:r>
            <w:r>
              <w:rPr>
                <w:rFonts w:ascii="Times New Roman" w:hAnsi="Times New Roman" w:cs="Times New Roman"/>
                <w:shd w:val="clear" w:color="auto" w:fill="FFFFFF" w:themeFill="background1"/>
                <w:lang w:val="lt-LT" w:eastAsia="zh-CN"/>
              </w:rPr>
              <w:t xml:space="preserve">  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2026-</w:t>
            </w:r>
            <w:r>
              <w:rPr>
                <w:rFonts w:ascii="Times New Roman" w:hAnsi="Times New Roman" w:cs="Times New Roman"/>
                <w:highlight w:val="yellow"/>
                <w:shd w:val="clear" w:color="auto" w:fill="FFFFFF" w:themeFill="background1"/>
                <w:lang w:val="lt-LT" w:eastAsia="zh-CN"/>
              </w:rPr>
              <w:t>11-17</w:t>
            </w:r>
            <w:r>
              <w:rPr>
                <w:rFonts w:ascii="Times New Roman" w:hAnsi="Times New Roman" w:cs="Times New Roman"/>
                <w:shd w:val="clear" w:color="auto" w:fill="FFFFFF" w:themeFill="background1"/>
                <w:lang w:val="lt-LT" w:eastAsia="zh-CN"/>
              </w:rPr>
              <w:t xml:space="preserve"> </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03-17</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04-14</w:t>
            </w:r>
            <w:r>
              <w:rPr>
                <w:rFonts w:ascii="Times New Roman" w:hAnsi="Times New Roman" w:cs="Times New Roman"/>
                <w:shd w:val="clear" w:color="auto" w:fill="FFFFFF" w:themeFill="background1"/>
                <w:lang w:val="lt-LT" w:eastAsia="zh-CN"/>
              </w:rPr>
              <w:t xml:space="preserve"> </w:t>
            </w:r>
            <w:r>
              <w:rPr>
                <w:lang w:val="lt-LT"/>
              </w:rPr>
              <w:t xml:space="preserve"> </w:t>
            </w:r>
            <w:r>
              <w:rPr>
                <w:rFonts w:ascii="Times New Roman" w:hAnsi="Times New Roman" w:cs="Times New Roman"/>
                <w:shd w:val="clear" w:color="auto" w:fill="FFFFFF" w:themeFill="background1"/>
                <w:lang w:val="lt-LT" w:eastAsia="zh-CN"/>
              </w:rPr>
              <w:t>Patirtinis ugdymas (1</w:t>
            </w:r>
            <w:r>
              <w:rPr>
                <w:rFonts w:ascii="Times New Roman" w:hAnsi="Times New Roman" w:cs="Times New Roman"/>
                <w:lang w:val="lt-LT" w:eastAsia="zh-CN"/>
              </w:rPr>
              <w:t>−</w:t>
            </w:r>
            <w:r>
              <w:rPr>
                <w:rFonts w:ascii="Times New Roman" w:hAnsi="Times New Roman" w:cs="Times New Roman"/>
                <w:shd w:val="clear" w:color="auto" w:fill="FFFFFF" w:themeFill="background1"/>
                <w:lang w:val="lt-LT" w:eastAsia="zh-CN"/>
              </w:rPr>
              <w:t>8 kl.);</w:t>
            </w:r>
          </w:p>
          <w:p>
            <w:pPr>
              <w:spacing w:after="0" w:line="276" w:lineRule="auto"/>
              <w:jc w:val="both"/>
              <w:rPr>
                <w:rFonts w:ascii="Times New Roman" w:hAnsi="Times New Roman" w:cs="Times New Roman"/>
                <w:shd w:val="clear" w:color="auto" w:fill="FFFFFF" w:themeFill="background1"/>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05-20</w:t>
            </w:r>
            <w:r>
              <w:rPr>
                <w:lang w:val="lt-LT"/>
              </w:rPr>
              <w:t xml:space="preserve"> </w:t>
            </w:r>
            <w:r>
              <w:rPr>
                <w:rFonts w:ascii="Times New Roman" w:hAnsi="Times New Roman" w:cs="Times New Roman"/>
                <w:shd w:val="clear" w:color="auto" w:fill="FFFFFF" w:themeFill="background1"/>
                <w:lang w:val="lt-LT" w:eastAsia="zh-CN"/>
              </w:rPr>
              <w:t>Patirtinio ugdymo rezultatų pristatymas (1−4 kl.);</w:t>
            </w:r>
          </w:p>
          <w:p>
            <w:pPr>
              <w:spacing w:after="0" w:line="276" w:lineRule="auto"/>
              <w:jc w:val="both"/>
              <w:rPr>
                <w:rFonts w:ascii="Times New Roman" w:hAnsi="Times New Roman" w:cs="Times New Roman"/>
                <w:lang w:val="lt-LT" w:eastAsia="zh-CN"/>
              </w:rPr>
            </w:pPr>
            <w:r>
              <w:rPr>
                <w:rFonts w:ascii="Times New Roman" w:hAnsi="Times New Roman" w:cs="Times New Roman"/>
                <w:shd w:val="clear" w:color="auto" w:fill="FFFFFF" w:themeFill="background1"/>
                <w:lang w:val="lt-LT" w:eastAsia="zh-CN"/>
              </w:rPr>
              <w:t>2027-</w:t>
            </w:r>
            <w:r>
              <w:rPr>
                <w:rFonts w:ascii="Times New Roman" w:hAnsi="Times New Roman" w:cs="Times New Roman"/>
                <w:highlight w:val="yellow"/>
                <w:shd w:val="clear" w:color="auto" w:fill="FFFFFF" w:themeFill="background1"/>
                <w:lang w:val="lt-LT" w:eastAsia="zh-CN"/>
              </w:rPr>
              <w:t>05-21</w:t>
            </w:r>
            <w:r>
              <w:rPr>
                <w:lang w:val="lt-LT"/>
              </w:rPr>
              <w:t xml:space="preserve"> </w:t>
            </w:r>
            <w:r>
              <w:rPr>
                <w:rFonts w:ascii="Times New Roman" w:hAnsi="Times New Roman" w:cs="Times New Roman"/>
                <w:shd w:val="clear" w:color="auto" w:fill="FFFFFF" w:themeFill="background1"/>
                <w:lang w:val="lt-LT" w:eastAsia="zh-CN"/>
              </w:rPr>
              <w:t>Patirtinio ugdymo rezultatų pristatymas (5−8 kl.)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trPr>
        <w:tc>
          <w:tcPr>
            <w:tcW w:w="3597"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24</w:t>
                  </w:r>
                </w:p>
              </w:tc>
              <w:tc>
                <w:tcPr>
                  <w:tcW w:w="482"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26</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6</w:t>
                  </w:r>
                </w:p>
              </w:tc>
              <w:tc>
                <w:tcPr>
                  <w:tcW w:w="482" w:type="dxa"/>
                  <w:shd w:val="clear" w:color="auto" w:fill="F7CAAC" w:themeFill="accent2" w:themeFillTint="66"/>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13</w:t>
                  </w:r>
                </w:p>
              </w:tc>
              <w:tc>
                <w:tcPr>
                  <w:tcW w:w="482" w:type="dxa"/>
                  <w:shd w:val="clear" w:color="auto" w:fill="FFFF00"/>
                  <w:vAlign w:val="center"/>
                </w:tcPr>
                <w:p>
                  <w:pPr>
                    <w:spacing w:after="0" w:line="240" w:lineRule="auto"/>
                    <w:jc w:val="center"/>
                    <w:rPr>
                      <w:rFonts w:ascii="Times New Roman" w:hAnsi="Times New Roman" w:cs="Times New Roman"/>
                      <w:b/>
                      <w:u w:val="single"/>
                      <w:lang w:val="lt-LT" w:eastAsia="zh-CN"/>
                    </w:rPr>
                  </w:pPr>
                  <w:r>
                    <w:rPr>
                      <w:rFonts w:ascii="Times New Roman" w:hAnsi="Times New Roman" w:cs="Times New Roman"/>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27</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FFFF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FF0000"/>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FFFF" w:themeColor="background1"/>
                      <w:lang w:val="lt-LT" w:eastAsia="zh-CN"/>
                      <w14:textFill>
                        <w14:solidFill>
                          <w14:schemeClr w14:val="bg1"/>
                        </w14:solidFill>
                      </w14:textFill>
                    </w:rPr>
                    <w:t>1</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8</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29</w:t>
                  </w:r>
                </w:p>
              </w:tc>
              <w:tc>
                <w:tcPr>
                  <w:tcW w:w="482" w:type="dxa"/>
                  <w:shd w:val="clear" w:color="auto" w:fill="auto"/>
                </w:tcPr>
                <w:p>
                  <w:pPr>
                    <w:spacing w:after="0" w:line="240" w:lineRule="auto"/>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9</w:t>
                  </w:r>
                </w:p>
              </w:tc>
              <w:tc>
                <w:tcPr>
                  <w:tcW w:w="482" w:type="dxa"/>
                  <w:shd w:val="clear" w:color="auto" w:fill="auto"/>
                  <w:vAlign w:val="center"/>
                </w:tcPr>
                <w:p>
                  <w:pPr>
                    <w:spacing w:after="0" w:line="240" w:lineRule="auto"/>
                    <w:rPr>
                      <w:rFonts w:ascii="Times New Roman" w:hAnsi="Times New Roman" w:cs="Times New Roman"/>
                      <w:lang w:val="lt-LT" w:eastAsia="zh-CN"/>
                    </w:rPr>
                  </w:pPr>
                  <w:r>
                    <w:rPr>
                      <w:rFonts w:ascii="Times New Roman" w:hAnsi="Times New Roman" w:cs="Times New Roman"/>
                      <w:color w:val="FF0000"/>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30</w:t>
                  </w:r>
                </w:p>
              </w:tc>
              <w:tc>
                <w:tcPr>
                  <w:tcW w:w="482" w:type="dxa"/>
                  <w:shd w:val="clear" w:color="auto" w:fill="auto"/>
                </w:tcPr>
                <w:p>
                  <w:pPr>
                    <w:spacing w:after="0" w:line="240" w:lineRule="auto"/>
                    <w:rPr>
                      <w:rFonts w:ascii="Times New Roman" w:hAnsi="Times New Roman" w:cs="Times New Roman"/>
                      <w:lang w:val="lt-LT" w:eastAsia="zh-CN"/>
                    </w:rPr>
                  </w:pPr>
                </w:p>
              </w:tc>
            </w:tr>
          </w:tbl>
          <w:p>
            <w:pPr>
              <w:spacing w:after="0" w:line="240" w:lineRule="auto"/>
              <w:rPr>
                <w:rFonts w:ascii="Times New Roman" w:hAnsi="Times New Roman" w:cs="Times New Roman"/>
                <w:lang w:val="lt-LT" w:eastAsia="zh-CN"/>
              </w:rPr>
            </w:pPr>
          </w:p>
          <w:p>
            <w:pPr>
              <w:spacing w:after="0" w:line="276" w:lineRule="auto"/>
              <w:rPr>
                <w:rFonts w:ascii="Times New Roman" w:hAnsi="Times New Roman" w:cs="Times New Roman"/>
                <w:color w:val="FFFFFF"/>
                <w:lang w:val="lt-LT" w:eastAsia="zh-CN"/>
              </w:rPr>
            </w:pPr>
            <w:r>
              <w:rPr>
                <w:rFonts w:ascii="Times New Roman" w:hAnsi="Times New Roman" w:cs="Times New Roman"/>
                <w:lang w:val="lt-LT" w:eastAsia="zh-CN"/>
              </w:rPr>
              <w:t>*</w:t>
            </w:r>
            <w:r>
              <w:rPr>
                <w:rFonts w:ascii="Times New Roman" w:hAnsi="Times New Roman" w:cs="Times New Roman"/>
                <w:color w:val="FFFFFF"/>
                <w:shd w:val="clear" w:color="auto" w:fill="FF0000"/>
                <w:lang w:val="lt-LT" w:eastAsia="zh-CN"/>
              </w:rPr>
              <w:t>Valstybės švenčių dienos</w:t>
            </w:r>
          </w:p>
          <w:p>
            <w:pPr>
              <w:spacing w:after="0" w:line="276" w:lineRule="auto"/>
              <w:rPr>
                <w:rFonts w:ascii="Times New Roman" w:hAnsi="Times New Roman" w:cs="Times New Roman"/>
                <w:lang w:val="lt-LT" w:eastAsia="zh-CN"/>
              </w:rPr>
            </w:pPr>
            <w:r>
              <w:rPr>
                <w:rFonts w:ascii="Times New Roman" w:hAnsi="Times New Roman" w:cs="Times New Roman"/>
                <w:highlight w:val="cyan"/>
                <w:lang w:val="lt-LT" w:eastAsia="zh-CN"/>
              </w:rPr>
              <w:t>*</w:t>
            </w:r>
            <w:r>
              <w:rPr>
                <w:rFonts w:ascii="Times New Roman" w:hAnsi="Times New Roman" w:cs="Times New Roman"/>
                <w:highlight w:val="cyan"/>
                <w:shd w:val="clear" w:color="auto" w:fill="00B0F0"/>
                <w:lang w:val="lt-LT" w:eastAsia="zh-CN"/>
              </w:rPr>
              <w:t xml:space="preserve"> Mokinių atostogos</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FFFF00"/>
                <w:lang w:val="lt-LT" w:eastAsia="zh-CN"/>
              </w:rPr>
              <w:t xml:space="preserve">Patirtinis ugdymas </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9CC2E5"/>
                <w:lang w:val="lt-LT" w:eastAsia="zh-CN"/>
              </w:rPr>
              <w:t>Atvirų durų diena</w:t>
            </w:r>
          </w:p>
          <w:p>
            <w:pPr>
              <w:spacing w:after="0" w:line="276" w:lineRule="auto"/>
              <w:rPr>
                <w:rFonts w:ascii="Times New Roman" w:hAnsi="Times New Roman" w:cs="Times New Roman"/>
                <w:shd w:val="clear" w:color="auto" w:fill="F7CAAC"/>
                <w:lang w:val="lt-LT" w:eastAsia="zh-CN"/>
              </w:rPr>
            </w:pPr>
            <w:r>
              <w:rPr>
                <w:rFonts w:ascii="Times New Roman" w:hAnsi="Times New Roman" w:cs="Times New Roman"/>
                <w:lang w:val="lt-LT" w:eastAsia="zh-CN"/>
              </w:rPr>
              <w:t xml:space="preserve">* </w:t>
            </w:r>
            <w:r>
              <w:rPr>
                <w:rFonts w:ascii="Times New Roman" w:hAnsi="Times New Roman" w:cs="Times New Roman"/>
                <w:shd w:val="clear" w:color="auto" w:fill="F7CAAC"/>
                <w:lang w:val="lt-LT" w:eastAsia="zh-CN"/>
              </w:rPr>
              <w:t>Signalinis pusmetis</w:t>
            </w:r>
          </w:p>
          <w:p>
            <w:pPr>
              <w:spacing w:after="0" w:line="276" w:lineRule="auto"/>
              <w:rPr>
                <w:rFonts w:ascii="Times New Roman" w:hAnsi="Times New Roman" w:cs="Times New Roman"/>
                <w:shd w:val="clear" w:color="auto" w:fill="F7CAAC"/>
                <w:lang w:val="lt-LT" w:eastAsia="zh-CN"/>
              </w:rPr>
            </w:pPr>
            <w:r>
              <w:rPr>
                <w:rFonts w:ascii="Times New Roman" w:hAnsi="Times New Roman" w:cs="Times New Roman"/>
                <w:lang w:val="lt-LT" w:eastAsia="zh-CN"/>
              </w:rPr>
              <w:t>*</w:t>
            </w:r>
            <w:r>
              <w:rPr>
                <w:rFonts w:ascii="Times New Roman" w:hAnsi="Times New Roman" w:cs="Times New Roman"/>
                <w:color w:val="FFFFFF" w:themeColor="background1"/>
                <w:highlight w:val="magenta"/>
                <w:lang w:val="lt-LT" w:eastAsia="zh-CN"/>
                <w14:textFill>
                  <w14:solidFill>
                    <w14:schemeClr w14:val="bg1"/>
                  </w14:solidFill>
                </w14:textFill>
              </w:rPr>
              <w:t>Nuotolinis mokymas</w:t>
            </w:r>
            <w:r>
              <w:rPr>
                <w:rFonts w:ascii="Times New Roman" w:hAnsi="Times New Roman" w:cs="Times New Roman"/>
                <w:color w:val="FFFFFF" w:themeColor="background1"/>
                <w:lang w:val="lt-LT" w:eastAsia="zh-CN"/>
                <w14:textFill>
                  <w14:solidFill>
                    <w14:schemeClr w14:val="bg1"/>
                  </w14:solidFill>
                </w14:textFill>
              </w:rPr>
              <w:t xml:space="preserve"> </w:t>
            </w:r>
            <w:r>
              <w:rPr>
                <w:rFonts w:ascii="Times New Roman" w:hAnsi="Times New Roman" w:cs="Times New Roman"/>
                <w:lang w:val="lt-LT" w:eastAsia="zh-CN"/>
              </w:rPr>
              <w:t>(5−8 kl.)</w:t>
            </w:r>
          </w:p>
          <w:p>
            <w:pPr>
              <w:spacing w:after="0" w:line="276" w:lineRule="auto"/>
              <w:rPr>
                <w:rFonts w:ascii="Times New Roman" w:hAnsi="Times New Roman" w:cs="Times New Roman"/>
                <w:lang w:val="lt-LT" w:eastAsia="zh-CN"/>
              </w:rPr>
            </w:pPr>
          </w:p>
        </w:tc>
        <w:tc>
          <w:tcPr>
            <w:tcW w:w="3661" w:type="dxa"/>
            <w:shd w:val="clear" w:color="auto" w:fill="auto"/>
          </w:tcPr>
          <w:tbl>
            <w:tblPr>
              <w:tblStyle w:val="14"/>
              <w:tblW w:w="3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481"/>
              <w:gridCol w:w="481"/>
              <w:gridCol w:w="482"/>
              <w:gridCol w:w="482"/>
              <w:gridCol w:w="482"/>
              <w:gridCol w:w="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7</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A</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w:t>
                  </w:r>
                </w:p>
              </w:tc>
              <w:tc>
                <w:tcPr>
                  <w:tcW w:w="481"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8</w:t>
                  </w:r>
                </w:p>
              </w:tc>
              <w:tc>
                <w:tcPr>
                  <w:tcW w:w="482"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22</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29</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T</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w:t>
                  </w:r>
                </w:p>
              </w:tc>
              <w:tc>
                <w:tcPr>
                  <w:tcW w:w="481"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b/>
                      <w:bCs/>
                      <w:u w:val="single"/>
                      <w:lang w:val="lt-LT" w:eastAsia="zh-CN"/>
                    </w:rPr>
                    <w:t>9</w:t>
                  </w:r>
                </w:p>
              </w:tc>
              <w:tc>
                <w:tcPr>
                  <w:tcW w:w="482" w:type="dxa"/>
                  <w:shd w:val="clear" w:color="auto" w:fill="A8D08D" w:themeFill="accent6" w:themeFillTint="99"/>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b/>
                      <w:bCs/>
                      <w:u w:val="single"/>
                      <w:lang w:val="lt-LT" w:eastAsia="zh-CN"/>
                    </w:rPr>
                    <w:t>16</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23</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K</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3</w:t>
                  </w:r>
                </w:p>
              </w:tc>
              <w:tc>
                <w:tcPr>
                  <w:tcW w:w="481"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10</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17</w:t>
                  </w:r>
                </w:p>
              </w:tc>
              <w:tc>
                <w:tcPr>
                  <w:tcW w:w="482" w:type="dxa"/>
                  <w:shd w:val="clear" w:color="auto" w:fill="FF0000"/>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color w:val="FFFFFF" w:themeColor="background1"/>
                      <w:lang w:val="lt-LT" w:eastAsia="zh-CN"/>
                      <w14:textFill>
                        <w14:solidFill>
                          <w14:schemeClr w14:val="bg1"/>
                        </w14:solidFill>
                      </w14:textFill>
                    </w:rPr>
                    <w:t>24</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lang w:val="lt-LT" w:eastAsia="zh-CN"/>
                    </w:rPr>
                  </w:pPr>
                  <w:r>
                    <w:rPr>
                      <w:rFonts w:ascii="Times New Roman" w:hAnsi="Times New Roman" w:cs="Times New Roman"/>
                      <w:lang w:val="lt-LT" w:eastAsia="zh-CN"/>
                    </w:rPr>
                    <w:t>P</w:t>
                  </w:r>
                </w:p>
              </w:tc>
              <w:tc>
                <w:tcPr>
                  <w:tcW w:w="481" w:type="dxa"/>
                  <w:shd w:val="clear" w:color="auto" w:fill="auto"/>
                  <w:vAlign w:val="center"/>
                </w:tcPr>
                <w:p>
                  <w:pPr>
                    <w:spacing w:after="0" w:line="240" w:lineRule="auto"/>
                    <w:jc w:val="center"/>
                    <w:rPr>
                      <w:rFonts w:ascii="Times New Roman" w:hAnsi="Times New Roman" w:cs="Times New Roman"/>
                      <w:bCs/>
                      <w:lang w:val="lt-LT" w:eastAsia="zh-CN"/>
                    </w:rPr>
                  </w:pPr>
                  <w:r>
                    <w:rPr>
                      <w:rFonts w:ascii="Times New Roman" w:hAnsi="Times New Roman" w:cs="Times New Roman"/>
                      <w:bCs/>
                      <w:lang w:val="lt-LT" w:eastAsia="zh-CN"/>
                    </w:rPr>
                    <w:t>4</w:t>
                  </w:r>
                </w:p>
              </w:tc>
              <w:tc>
                <w:tcPr>
                  <w:tcW w:w="481" w:type="dxa"/>
                  <w:shd w:val="clear" w:color="auto" w:fill="auto"/>
                  <w:vAlign w:val="center"/>
                </w:tcPr>
                <w:p>
                  <w:pPr>
                    <w:spacing w:after="0" w:line="240" w:lineRule="auto"/>
                    <w:jc w:val="center"/>
                    <w:rPr>
                      <w:rFonts w:ascii="Times New Roman" w:hAnsi="Times New Roman" w:cs="Times New Roman"/>
                      <w:bCs/>
                      <w:lang w:val="lt-LT" w:eastAsia="zh-CN"/>
                    </w:rPr>
                  </w:pPr>
                  <w:r>
                    <w:rPr>
                      <w:rFonts w:ascii="Times New Roman" w:hAnsi="Times New Roman" w:cs="Times New Roman"/>
                      <w:bCs/>
                      <w:lang w:val="lt-LT" w:eastAsia="zh-CN"/>
                    </w:rPr>
                    <w:t>11</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18</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r>
                    <w:rPr>
                      <w:rFonts w:ascii="Times New Roman" w:hAnsi="Times New Roman" w:cs="Times New Roman"/>
                      <w:lang w:val="lt-LT" w:eastAsia="zh-CN"/>
                    </w:rPr>
                    <w:t>25</w:t>
                  </w: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Š</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5</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12</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19</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26</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1" w:type="dxa"/>
                  <w:shd w:val="clear" w:color="auto" w:fill="auto"/>
                </w:tcPr>
                <w:p>
                  <w:pPr>
                    <w:spacing w:after="0" w:line="240" w:lineRule="auto"/>
                    <w:rPr>
                      <w:rFonts w:ascii="Times New Roman" w:hAnsi="Times New Roman" w:cs="Times New Roman"/>
                      <w:color w:val="FF0000"/>
                      <w:lang w:val="lt-LT" w:eastAsia="zh-CN"/>
                    </w:rPr>
                  </w:pPr>
                  <w:r>
                    <w:rPr>
                      <w:rFonts w:ascii="Times New Roman" w:hAnsi="Times New Roman" w:cs="Times New Roman"/>
                      <w:color w:val="FF0000"/>
                      <w:lang w:val="lt-LT" w:eastAsia="zh-CN"/>
                    </w:rPr>
                    <w:t>S</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6</w:t>
                  </w:r>
                </w:p>
              </w:tc>
              <w:tc>
                <w:tcPr>
                  <w:tcW w:w="481"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13</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20</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r>
                    <w:rPr>
                      <w:rFonts w:ascii="Times New Roman" w:hAnsi="Times New Roman" w:cs="Times New Roman"/>
                      <w:color w:val="FF0000"/>
                      <w:lang w:val="lt-LT" w:eastAsia="zh-CN"/>
                    </w:rPr>
                    <w:t>27</w:t>
                  </w:r>
                </w:p>
              </w:tc>
              <w:tc>
                <w:tcPr>
                  <w:tcW w:w="482" w:type="dxa"/>
                  <w:shd w:val="clear" w:color="auto" w:fill="auto"/>
                  <w:vAlign w:val="center"/>
                </w:tcPr>
                <w:p>
                  <w:pPr>
                    <w:spacing w:after="0" w:line="240" w:lineRule="auto"/>
                    <w:jc w:val="center"/>
                    <w:rPr>
                      <w:rFonts w:ascii="Times New Roman" w:hAnsi="Times New Roman" w:cs="Times New Roman"/>
                      <w:color w:val="FF0000"/>
                      <w:lang w:val="lt-LT" w:eastAsia="zh-CN"/>
                    </w:rPr>
                  </w:pPr>
                </w:p>
              </w:tc>
              <w:tc>
                <w:tcPr>
                  <w:tcW w:w="482" w:type="dxa"/>
                  <w:shd w:val="clear" w:color="auto" w:fill="auto"/>
                  <w:vAlign w:val="center"/>
                </w:tcPr>
                <w:p>
                  <w:pPr>
                    <w:spacing w:after="0" w:line="240" w:lineRule="auto"/>
                    <w:jc w:val="center"/>
                    <w:rPr>
                      <w:rFonts w:ascii="Times New Roman" w:hAnsi="Times New Roman" w:cs="Times New Roman"/>
                      <w:lang w:val="lt-LT" w:eastAsia="zh-CN"/>
                    </w:rPr>
                  </w:pPr>
                </w:p>
              </w:tc>
            </w:tr>
          </w:tbl>
          <w:p>
            <w:pPr>
              <w:spacing w:after="0" w:line="240" w:lineRule="auto"/>
              <w:rPr>
                <w:rFonts w:ascii="Times New Roman" w:hAnsi="Times New Roman" w:cs="Times New Roman"/>
                <w:b/>
                <w:lang w:val="lt-LT" w:eastAsia="zh-CN"/>
              </w:rPr>
            </w:pPr>
          </w:p>
          <w:p>
            <w:pPr>
              <w:spacing w:after="0" w:line="240" w:lineRule="auto"/>
              <w:rPr>
                <w:rFonts w:ascii="Times New Roman" w:hAnsi="Times New Roman" w:cs="Times New Roman"/>
                <w:lang w:val="lt-LT" w:eastAsia="zh-CN"/>
              </w:rPr>
            </w:pPr>
            <w:r>
              <w:rPr>
                <w:rFonts w:ascii="Times New Roman" w:hAnsi="Times New Roman" w:cs="Times New Roman"/>
                <w:b/>
                <w:lang w:val="lt-LT" w:eastAsia="zh-CN"/>
              </w:rPr>
              <w:t>I pusmetis</w:t>
            </w:r>
            <w:r>
              <w:rPr>
                <w:rFonts w:ascii="Times New Roman" w:hAnsi="Times New Roman" w:cs="Times New Roman"/>
                <w:lang w:val="lt-LT" w:eastAsia="zh-CN"/>
              </w:rPr>
              <w:t xml:space="preserve"> –</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rugsėjo </w:t>
            </w:r>
            <w:r>
              <w:rPr>
                <w:rFonts w:ascii="Times New Roman" w:hAnsi="Times New Roman" w:cs="Times New Roman"/>
                <w:b/>
                <w:lang w:val="lt-LT" w:eastAsia="zh-CN"/>
              </w:rPr>
              <w:t>1</w:t>
            </w:r>
            <w:r>
              <w:rPr>
                <w:rFonts w:ascii="Times New Roman" w:hAnsi="Times New Roman" w:cs="Times New Roman"/>
                <w:lang w:val="lt-LT" w:eastAsia="zh-CN"/>
              </w:rPr>
              <w:t xml:space="preserve"> d.– sausio  </w:t>
            </w:r>
            <w:r>
              <w:rPr>
                <w:rFonts w:ascii="Times New Roman" w:hAnsi="Times New Roman" w:cs="Times New Roman"/>
                <w:b/>
                <w:u w:val="single"/>
                <w:lang w:val="lt-LT" w:eastAsia="zh-CN"/>
              </w:rPr>
              <w:t>22</w:t>
            </w:r>
            <w:r>
              <w:rPr>
                <w:rFonts w:ascii="Times New Roman" w:hAnsi="Times New Roman" w:cs="Times New Roman"/>
                <w:lang w:val="lt-LT" w:eastAsia="zh-CN"/>
              </w:rPr>
              <w:t xml:space="preserve"> d. (1−8 kl.)</w:t>
            </w:r>
          </w:p>
          <w:p>
            <w:pPr>
              <w:spacing w:after="0" w:line="240" w:lineRule="auto"/>
              <w:ind w:hanging="18"/>
              <w:rPr>
                <w:rFonts w:ascii="Times New Roman" w:hAnsi="Times New Roman" w:cs="Times New Roman"/>
                <w:lang w:val="lt-LT" w:eastAsia="zh-CN"/>
              </w:rPr>
            </w:pPr>
            <w:r>
              <w:rPr>
                <w:rFonts w:ascii="Times New Roman" w:hAnsi="Times New Roman" w:cs="Times New Roman"/>
                <w:b/>
                <w:lang w:val="lt-LT" w:eastAsia="zh-CN"/>
              </w:rPr>
              <w:t>II pusmetis</w:t>
            </w:r>
            <w:r>
              <w:rPr>
                <w:rFonts w:ascii="Times New Roman" w:hAnsi="Times New Roman" w:cs="Times New Roman"/>
                <w:lang w:val="lt-LT" w:eastAsia="zh-CN"/>
              </w:rPr>
              <w:t xml:space="preserve"> –</w:t>
            </w:r>
          </w:p>
          <w:p>
            <w:pPr>
              <w:spacing w:after="0" w:line="240" w:lineRule="auto"/>
              <w:ind w:hanging="18"/>
              <w:rPr>
                <w:rFonts w:ascii="Times New Roman" w:hAnsi="Times New Roman" w:cs="Times New Roman"/>
                <w:lang w:val="lt-LT" w:eastAsia="zh-CN"/>
              </w:rPr>
            </w:pPr>
            <w:r>
              <w:rPr>
                <w:rFonts w:ascii="Times New Roman" w:hAnsi="Times New Roman" w:cs="Times New Roman"/>
                <w:lang w:val="lt-LT" w:eastAsia="zh-CN"/>
              </w:rPr>
              <w:t xml:space="preserve">sausio </w:t>
            </w:r>
            <w:r>
              <w:rPr>
                <w:rFonts w:ascii="Times New Roman" w:hAnsi="Times New Roman" w:cs="Times New Roman"/>
                <w:b/>
                <w:lang w:val="lt-LT" w:eastAsia="zh-CN"/>
              </w:rPr>
              <w:t>25</w:t>
            </w:r>
            <w:r>
              <w:rPr>
                <w:rFonts w:ascii="Times New Roman" w:hAnsi="Times New Roman" w:cs="Times New Roman"/>
                <w:lang w:val="lt-LT" w:eastAsia="zh-CN"/>
              </w:rPr>
              <w:t xml:space="preserve"> d.– birželio  </w:t>
            </w:r>
            <w:r>
              <w:rPr>
                <w:rFonts w:ascii="Times New Roman" w:hAnsi="Times New Roman" w:cs="Times New Roman"/>
                <w:b/>
                <w:bCs/>
                <w:u w:val="single"/>
                <w:lang w:val="lt-LT" w:eastAsia="zh-CN"/>
              </w:rPr>
              <w:t>9</w:t>
            </w:r>
            <w:r>
              <w:rPr>
                <w:rFonts w:ascii="Times New Roman" w:hAnsi="Times New Roman" w:cs="Times New Roman"/>
                <w:lang w:val="lt-LT" w:eastAsia="zh-CN"/>
              </w:rPr>
              <w:t xml:space="preserve"> d.  (1−4 kl.)</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sausio </w:t>
            </w:r>
            <w:r>
              <w:rPr>
                <w:rFonts w:ascii="Times New Roman" w:hAnsi="Times New Roman" w:cs="Times New Roman"/>
                <w:b/>
                <w:lang w:val="lt-LT" w:eastAsia="zh-CN"/>
              </w:rPr>
              <w:t>25</w:t>
            </w:r>
            <w:r>
              <w:rPr>
                <w:rFonts w:ascii="Times New Roman" w:hAnsi="Times New Roman" w:cs="Times New Roman"/>
                <w:lang w:val="lt-LT" w:eastAsia="zh-CN"/>
              </w:rPr>
              <w:t xml:space="preserve"> d.– birželio </w:t>
            </w:r>
            <w:r>
              <w:rPr>
                <w:rFonts w:ascii="Times New Roman" w:hAnsi="Times New Roman" w:cs="Times New Roman"/>
                <w:b/>
                <w:u w:val="single"/>
                <w:lang w:val="lt-LT" w:eastAsia="zh-CN"/>
              </w:rPr>
              <w:t>16</w:t>
            </w:r>
            <w:r>
              <w:rPr>
                <w:rFonts w:ascii="Times New Roman" w:hAnsi="Times New Roman" w:cs="Times New Roman"/>
                <w:lang w:val="lt-LT" w:eastAsia="zh-CN"/>
              </w:rPr>
              <w:t xml:space="preserve"> d. (5−8 kl.)</w:t>
            </w:r>
          </w:p>
          <w:p>
            <w:pPr>
              <w:spacing w:after="0" w:line="240" w:lineRule="auto"/>
              <w:rPr>
                <w:rFonts w:ascii="Times New Roman" w:hAnsi="Times New Roman" w:cs="Times New Roman"/>
                <w:b/>
                <w:lang w:val="lt-LT" w:eastAsia="zh-CN"/>
              </w:rPr>
            </w:pPr>
            <w:r>
              <w:rPr>
                <w:rFonts w:ascii="Times New Roman" w:hAnsi="Times New Roman" w:cs="Times New Roman"/>
                <w:b/>
                <w:lang w:val="lt-LT" w:eastAsia="zh-CN"/>
              </w:rPr>
              <w:t>Ugdymo dienų skaičius:</w:t>
            </w:r>
          </w:p>
          <w:p>
            <w:pPr>
              <w:spacing w:after="0" w:line="240" w:lineRule="auto"/>
              <w:rPr>
                <w:rFonts w:ascii="Times New Roman" w:hAnsi="Times New Roman" w:cs="Times New Roman"/>
                <w:lang w:val="lt-LT" w:eastAsia="zh-CN"/>
              </w:rPr>
            </w:pPr>
            <w:r>
              <w:rPr>
                <w:rFonts w:ascii="Times New Roman" w:hAnsi="Times New Roman" w:cs="Times New Roman"/>
                <w:lang w:val="lt-LT" w:eastAsia="zh-CN"/>
              </w:rPr>
              <w:t xml:space="preserve">1−4 kl.–175 dienos </w:t>
            </w:r>
          </w:p>
          <w:p>
            <w:pPr>
              <w:spacing w:after="0" w:line="276" w:lineRule="auto"/>
              <w:rPr>
                <w:rFonts w:ascii="Times New Roman" w:hAnsi="Times New Roman" w:cs="Times New Roman"/>
                <w:lang w:val="lt-LT" w:eastAsia="zh-CN"/>
              </w:rPr>
            </w:pPr>
            <w:r>
              <w:rPr>
                <w:rFonts w:ascii="Times New Roman" w:hAnsi="Times New Roman" w:cs="Times New Roman"/>
                <w:lang w:val="lt-LT" w:eastAsia="zh-CN"/>
              </w:rPr>
              <w:t>5−8 kl.–180 dienos</w:t>
            </w:r>
          </w:p>
        </w:tc>
        <w:tc>
          <w:tcPr>
            <w:tcW w:w="7302" w:type="dxa"/>
            <w:gridSpan w:val="2"/>
            <w:vMerge w:val="continue"/>
            <w:shd w:val="clear" w:color="auto" w:fill="auto"/>
          </w:tcPr>
          <w:p>
            <w:pPr>
              <w:spacing w:after="0" w:line="240" w:lineRule="auto"/>
              <w:rPr>
                <w:rFonts w:ascii="Times New Roman" w:hAnsi="Times New Roman" w:cs="Times New Roman"/>
                <w:lang w:val="lt-LT" w:eastAsia="zh-CN"/>
              </w:rPr>
            </w:pPr>
          </w:p>
        </w:tc>
      </w:tr>
    </w:tbl>
    <w:p>
      <w:pPr>
        <w:spacing w:after="0"/>
        <w:rPr>
          <w:lang w:val="lt-LT"/>
        </w:rPr>
      </w:pPr>
    </w:p>
    <w:sectPr>
      <w:footerReference r:id="rId7" w:type="default"/>
      <w:pgSz w:w="16838" w:h="11906" w:orient="landscape"/>
      <w:pgMar w:top="567" w:right="1134" w:bottom="454" w:left="1134" w:header="0" w:footer="7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Georgia">
    <w:panose1 w:val="02040502050405020303"/>
    <w:charset w:val="BA"/>
    <w:family w:val="roman"/>
    <w:pitch w:val="default"/>
    <w:sig w:usb0="00000287" w:usb1="00000000" w:usb2="00000000" w:usb3="00000000" w:csb0="2000009F" w:csb1="00000000"/>
  </w:font>
  <w:font w:name="Noto Sans Symbols">
    <w:altName w:val="Segoe Print"/>
    <w:panose1 w:val="00000000000000000000"/>
    <w:charset w:val="00"/>
    <w:family w:val="auto"/>
    <w:pitch w:val="default"/>
    <w:sig w:usb0="00000000" w:usb1="00000000" w:usb2="00000000" w:usb3="00000000" w:csb0="00000000" w:csb1="00000000"/>
  </w:font>
  <w:font w:name="Gungsuh">
    <w:altName w:val="Malgun Gothic"/>
    <w:panose1 w:val="02030600000101010101"/>
    <w:charset w:val="81"/>
    <w:family w:val="roman"/>
    <w:pitch w:val="default"/>
    <w:sig w:usb0="00000000" w:usb1="00000000" w:usb2="00000030" w:usb3="00000000" w:csb0="0008009F" w:csb1="00000000"/>
  </w:font>
  <w:font w:name="Tahoma">
    <w:panose1 w:val="020B0604030504040204"/>
    <w:charset w:val="BA"/>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w:instrText>
    </w:r>
    <w:r>
      <w:fldChar w:fldCharType="separate"/>
    </w:r>
    <w:r>
      <w:t>31</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fldChar w:fldCharType="begin"/>
    </w:r>
    <w:r>
      <w:rPr>
        <w:rFonts w:ascii="Times New Roman" w:hAnsi="Times New Roman" w:eastAsia="Times New Roman" w:cs="Times New Roman"/>
        <w:color w:val="000000"/>
        <w:sz w:val="20"/>
        <w:szCs w:val="20"/>
      </w:rPr>
      <w:instrText xml:space="preserve">PAGE</w:instrText>
    </w:r>
    <w:r>
      <w:rPr>
        <w:rFonts w:ascii="Times New Roman" w:hAnsi="Times New Roman" w:eastAsia="Times New Roman" w:cs="Times New Roman"/>
        <w:color w:val="000000"/>
        <w:sz w:val="20"/>
        <w:szCs w:val="20"/>
      </w:rPr>
      <w:fldChar w:fldCharType="separate"/>
    </w:r>
    <w:r>
      <w:rPr>
        <w:rFonts w:ascii="Times New Roman" w:hAnsi="Times New Roman" w:eastAsia="Times New Roman" w:cs="Times New Roman"/>
        <w:color w:val="000000"/>
        <w:sz w:val="20"/>
        <w:szCs w:val="20"/>
      </w:rPr>
      <w:t>33</w:t>
    </w:r>
    <w:r>
      <w:rPr>
        <w:rFonts w:ascii="Times New Roman" w:hAnsi="Times New Roman" w:eastAsia="Times New Roman" w:cs="Times New Roman"/>
        <w:color w:val="000000"/>
        <w:sz w:val="20"/>
        <w:szCs w:val="20"/>
      </w:rPr>
      <w:fldChar w:fldCharType="end"/>
    </w:r>
  </w:p>
  <w:p>
    <w:pPr>
      <w:spacing w:after="0" w:line="240" w:lineRule="auto"/>
      <w:rPr>
        <w:rFonts w:ascii="Times New Roman" w:hAnsi="Times New Roman" w:eastAsia="Times New Roman" w:cs="Times New Roman"/>
        <w:color w:val="000000"/>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jc w:val="center"/>
      <w:rPr>
        <w:rFonts w:ascii="Times New Roman" w:hAnsi="Times New Roman" w:eastAsia="Times New Roman" w:cs="Times New Roman"/>
        <w:color w:val="000000"/>
        <w:sz w:val="20"/>
        <w:szCs w:val="20"/>
      </w:rPr>
    </w:pPr>
  </w:p>
  <w:p>
    <w:pPr>
      <w:spacing w:after="0" w:line="240" w:lineRule="auto"/>
      <w:rPr>
        <w:rFonts w:ascii="Times New Roman" w:hAnsi="Times New Roman" w:eastAsia="Times New Roman" w:cs="Times New Roman"/>
        <w:color w:val="000000"/>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0FBCB3"/>
    <w:multiLevelType w:val="singleLevel"/>
    <w:tmpl w:val="9E0FBCB3"/>
    <w:lvl w:ilvl="0" w:tentative="0">
      <w:start w:val="27"/>
      <w:numFmt w:val="decimal"/>
      <w:suff w:val="space"/>
      <w:lvlText w:val="%1."/>
      <w:lvlJc w:val="left"/>
    </w:lvl>
  </w:abstractNum>
  <w:abstractNum w:abstractNumId="1">
    <w:nsid w:val="B5E306ED"/>
    <w:multiLevelType w:val="multilevel"/>
    <w:tmpl w:val="B5E306ED"/>
    <w:lvl w:ilvl="0" w:tentative="0">
      <w:start w:val="28"/>
      <w:numFmt w:val="decimal"/>
      <w:lvlText w:val="%1."/>
      <w:lvlJc w:val="left"/>
      <w:pPr>
        <w:ind w:left="660" w:hanging="660"/>
      </w:pPr>
    </w:lvl>
    <w:lvl w:ilvl="1" w:tentative="0">
      <w:start w:val="5"/>
      <w:numFmt w:val="decimal"/>
      <w:lvlText w:val="%1.%2."/>
      <w:lvlJc w:val="left"/>
      <w:pPr>
        <w:ind w:left="1380" w:hanging="660"/>
      </w:pPr>
    </w:lvl>
    <w:lvl w:ilvl="2" w:tentative="0">
      <w:start w:val="9"/>
      <w:numFmt w:val="decimal"/>
      <w:lvlText w:val="%1.%2.%3."/>
      <w:lvlJc w:val="left"/>
      <w:pPr>
        <w:ind w:left="2160" w:hanging="720"/>
      </w:pPr>
    </w:lvl>
    <w:lvl w:ilvl="3" w:tentative="0">
      <w:start w:val="1"/>
      <w:numFmt w:val="decimal"/>
      <w:lvlText w:val="%1.%2.%3.%4."/>
      <w:lvlJc w:val="left"/>
      <w:pPr>
        <w:ind w:left="2880" w:hanging="720"/>
      </w:pPr>
    </w:lvl>
    <w:lvl w:ilvl="4" w:tentative="0">
      <w:start w:val="1"/>
      <w:numFmt w:val="decimal"/>
      <w:lvlText w:val="%1.%2.%3.%4.%5."/>
      <w:lvlJc w:val="left"/>
      <w:pPr>
        <w:ind w:left="3960" w:hanging="1080"/>
      </w:pPr>
    </w:lvl>
    <w:lvl w:ilvl="5" w:tentative="0">
      <w:start w:val="1"/>
      <w:numFmt w:val="decimal"/>
      <w:lvlText w:val="%1.%2.%3.%4.%5.%6."/>
      <w:lvlJc w:val="left"/>
      <w:pPr>
        <w:ind w:left="4680" w:hanging="1080"/>
      </w:pPr>
    </w:lvl>
    <w:lvl w:ilvl="6" w:tentative="0">
      <w:start w:val="1"/>
      <w:numFmt w:val="decimal"/>
      <w:lvlText w:val="%1.%2.%3.%4.%5.%6.%7."/>
      <w:lvlJc w:val="left"/>
      <w:pPr>
        <w:ind w:left="5760" w:hanging="1440"/>
      </w:pPr>
    </w:lvl>
    <w:lvl w:ilvl="7" w:tentative="0">
      <w:start w:val="1"/>
      <w:numFmt w:val="decimal"/>
      <w:lvlText w:val="%1.%2.%3.%4.%5.%6.%7.%8."/>
      <w:lvlJc w:val="left"/>
      <w:pPr>
        <w:ind w:left="6480" w:hanging="1440"/>
      </w:pPr>
    </w:lvl>
    <w:lvl w:ilvl="8" w:tentative="0">
      <w:start w:val="1"/>
      <w:numFmt w:val="decimal"/>
      <w:lvlText w:val="%1.%2.%3.%4.%5.%6.%7.%8.%9."/>
      <w:lvlJc w:val="left"/>
      <w:pPr>
        <w:ind w:left="7560" w:hanging="1800"/>
      </w:pPr>
    </w:lvl>
  </w:abstractNum>
  <w:abstractNum w:abstractNumId="2">
    <w:nsid w:val="BF205925"/>
    <w:multiLevelType w:val="multilevel"/>
    <w:tmpl w:val="BF205925"/>
    <w:lvl w:ilvl="0" w:tentative="0">
      <w:start w:val="28"/>
      <w:numFmt w:val="decimal"/>
      <w:lvlText w:val="%1."/>
      <w:lvlJc w:val="left"/>
      <w:pPr>
        <w:ind w:left="660" w:hanging="660"/>
      </w:pPr>
    </w:lvl>
    <w:lvl w:ilvl="1" w:tentative="0">
      <w:start w:val="5"/>
      <w:numFmt w:val="decimal"/>
      <w:lvlText w:val="%1.%2."/>
      <w:lvlJc w:val="left"/>
      <w:pPr>
        <w:ind w:left="1020" w:hanging="660"/>
      </w:pPr>
    </w:lvl>
    <w:lvl w:ilvl="2" w:tentative="0">
      <w:start w:val="4"/>
      <w:numFmt w:val="decimal"/>
      <w:lvlText w:val="%1.%2.%3."/>
      <w:lvlJc w:val="left"/>
      <w:pPr>
        <w:ind w:left="1440" w:hanging="720"/>
      </w:pPr>
    </w:lvl>
    <w:lvl w:ilvl="3" w:tentative="0">
      <w:start w:val="1"/>
      <w:numFmt w:val="decimal"/>
      <w:lvlText w:val="%1.%2.%3.%4."/>
      <w:lvlJc w:val="left"/>
      <w:pPr>
        <w:ind w:left="1800" w:hanging="720"/>
      </w:pPr>
    </w:lvl>
    <w:lvl w:ilvl="4" w:tentative="0">
      <w:start w:val="1"/>
      <w:numFmt w:val="decimal"/>
      <w:lvlText w:val="%1.%2.%3.%4.%5."/>
      <w:lvlJc w:val="left"/>
      <w:pPr>
        <w:ind w:left="2520" w:hanging="1080"/>
      </w:pPr>
    </w:lvl>
    <w:lvl w:ilvl="5" w:tentative="0">
      <w:start w:val="1"/>
      <w:numFmt w:val="decimal"/>
      <w:lvlText w:val="%1.%2.%3.%4.%5.%6."/>
      <w:lvlJc w:val="left"/>
      <w:pPr>
        <w:ind w:left="2880" w:hanging="1080"/>
      </w:pPr>
    </w:lvl>
    <w:lvl w:ilvl="6" w:tentative="0">
      <w:start w:val="1"/>
      <w:numFmt w:val="decimal"/>
      <w:lvlText w:val="%1.%2.%3.%4.%5.%6.%7."/>
      <w:lvlJc w:val="left"/>
      <w:pPr>
        <w:ind w:left="3600" w:hanging="1440"/>
      </w:pPr>
    </w:lvl>
    <w:lvl w:ilvl="7" w:tentative="0">
      <w:start w:val="1"/>
      <w:numFmt w:val="decimal"/>
      <w:lvlText w:val="%1.%2.%3.%4.%5.%6.%7.%8."/>
      <w:lvlJc w:val="left"/>
      <w:pPr>
        <w:ind w:left="3960" w:hanging="1440"/>
      </w:pPr>
    </w:lvl>
    <w:lvl w:ilvl="8" w:tentative="0">
      <w:start w:val="1"/>
      <w:numFmt w:val="decimal"/>
      <w:lvlText w:val="%1.%2.%3.%4.%5.%6.%7.%8.%9."/>
      <w:lvlJc w:val="left"/>
      <w:pPr>
        <w:ind w:left="4680" w:hanging="1800"/>
      </w:pPr>
    </w:lvl>
  </w:abstractNum>
  <w:abstractNum w:abstractNumId="3">
    <w:nsid w:val="CF092B84"/>
    <w:multiLevelType w:val="multilevel"/>
    <w:tmpl w:val="CF092B84"/>
    <w:lvl w:ilvl="0" w:tentative="0">
      <w:start w:val="6"/>
      <w:numFmt w:val="decimal"/>
      <w:lvlText w:val="%1."/>
      <w:lvlJc w:val="left"/>
      <w:pPr>
        <w:ind w:left="0" w:firstLine="0"/>
      </w:p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4">
    <w:nsid w:val="03D62ECE"/>
    <w:multiLevelType w:val="multilevel"/>
    <w:tmpl w:val="03D62ECE"/>
    <w:lvl w:ilvl="0" w:tentative="0">
      <w:start w:val="28"/>
      <w:numFmt w:val="decimal"/>
      <w:lvlText w:val="%1."/>
      <w:lvlJc w:val="left"/>
      <w:pPr>
        <w:ind w:left="780" w:hanging="780"/>
      </w:pPr>
    </w:lvl>
    <w:lvl w:ilvl="1" w:tentative="0">
      <w:start w:val="5"/>
      <w:numFmt w:val="decimal"/>
      <w:lvlText w:val="%1.%2."/>
      <w:lvlJc w:val="left"/>
      <w:pPr>
        <w:ind w:left="1129" w:hanging="780"/>
      </w:pPr>
    </w:lvl>
    <w:lvl w:ilvl="2" w:tentative="0">
      <w:start w:val="14"/>
      <w:numFmt w:val="decimal"/>
      <w:lvlText w:val="%1.%2.%3."/>
      <w:lvlJc w:val="left"/>
      <w:pPr>
        <w:ind w:left="1478" w:hanging="779"/>
      </w:pPr>
    </w:lvl>
    <w:lvl w:ilvl="3" w:tentative="0">
      <w:start w:val="1"/>
      <w:numFmt w:val="decimal"/>
      <w:lvlText w:val="%1.%2.%3.%4."/>
      <w:lvlJc w:val="left"/>
      <w:pPr>
        <w:ind w:left="1827" w:hanging="780"/>
      </w:pPr>
    </w:lvl>
    <w:lvl w:ilvl="4" w:tentative="0">
      <w:start w:val="1"/>
      <w:numFmt w:val="decimal"/>
      <w:lvlText w:val="%1.%2.%3.%4.%5."/>
      <w:lvlJc w:val="left"/>
      <w:pPr>
        <w:ind w:left="2476" w:hanging="1080"/>
      </w:pPr>
    </w:lvl>
    <w:lvl w:ilvl="5" w:tentative="0">
      <w:start w:val="1"/>
      <w:numFmt w:val="decimal"/>
      <w:lvlText w:val="%1.%2.%3.%4.%5.%6."/>
      <w:lvlJc w:val="left"/>
      <w:pPr>
        <w:ind w:left="2825" w:hanging="1080"/>
      </w:pPr>
    </w:lvl>
    <w:lvl w:ilvl="6" w:tentative="0">
      <w:start w:val="1"/>
      <w:numFmt w:val="decimal"/>
      <w:lvlText w:val="%1.%2.%3.%4.%5.%6.%7."/>
      <w:lvlJc w:val="left"/>
      <w:pPr>
        <w:ind w:left="3534" w:hanging="1440"/>
      </w:pPr>
    </w:lvl>
    <w:lvl w:ilvl="7" w:tentative="0">
      <w:start w:val="1"/>
      <w:numFmt w:val="decimal"/>
      <w:lvlText w:val="%1.%2.%3.%4.%5.%6.%7.%8."/>
      <w:lvlJc w:val="left"/>
      <w:pPr>
        <w:ind w:left="3883" w:hanging="1440"/>
      </w:pPr>
    </w:lvl>
    <w:lvl w:ilvl="8" w:tentative="0">
      <w:start w:val="1"/>
      <w:numFmt w:val="decimal"/>
      <w:lvlText w:val="%1.%2.%3.%4.%5.%6.%7.%8.%9."/>
      <w:lvlJc w:val="left"/>
      <w:pPr>
        <w:ind w:left="4592" w:hanging="1800"/>
      </w:pPr>
    </w:lvl>
  </w:abstractNum>
  <w:abstractNum w:abstractNumId="5">
    <w:nsid w:val="05A6C6AF"/>
    <w:multiLevelType w:val="singleLevel"/>
    <w:tmpl w:val="05A6C6AF"/>
    <w:lvl w:ilvl="0" w:tentative="0">
      <w:start w:val="23"/>
      <w:numFmt w:val="decimal"/>
      <w:suff w:val="space"/>
      <w:lvlText w:val="%1."/>
      <w:lvlJc w:val="left"/>
    </w:lvl>
  </w:abstractNum>
  <w:abstractNum w:abstractNumId="6">
    <w:nsid w:val="25B654F3"/>
    <w:multiLevelType w:val="multilevel"/>
    <w:tmpl w:val="25B654F3"/>
    <w:lvl w:ilvl="0" w:tentative="0">
      <w:start w:val="46"/>
      <w:numFmt w:val="decimal"/>
      <w:lvlText w:val="%1."/>
      <w:lvlJc w:val="left"/>
      <w:pPr>
        <w:ind w:left="1211" w:hanging="360"/>
      </w:pPr>
      <w:rPr>
        <w:sz w:val="24"/>
        <w:szCs w:val="24"/>
      </w:rPr>
    </w:lvl>
    <w:lvl w:ilvl="1" w:tentative="0">
      <w:start w:val="1"/>
      <w:numFmt w:val="decimal"/>
      <w:lvlText w:val="%2."/>
      <w:lvlJc w:val="left"/>
      <w:pPr>
        <w:ind w:left="1080" w:hanging="360"/>
      </w:pPr>
    </w:lvl>
    <w:lvl w:ilvl="2" w:tentative="0">
      <w:start w:val="1"/>
      <w:numFmt w:val="decimal"/>
      <w:lvlText w:val="%3."/>
      <w:lvlJc w:val="left"/>
      <w:pPr>
        <w:ind w:left="1440" w:hanging="360"/>
      </w:pPr>
    </w:lvl>
    <w:lvl w:ilvl="3" w:tentative="0">
      <w:start w:val="1"/>
      <w:numFmt w:val="decimal"/>
      <w:lvlText w:val="%4."/>
      <w:lvlJc w:val="left"/>
      <w:pPr>
        <w:ind w:left="1800" w:hanging="360"/>
      </w:pPr>
    </w:lvl>
    <w:lvl w:ilvl="4" w:tentative="0">
      <w:start w:val="1"/>
      <w:numFmt w:val="decimal"/>
      <w:lvlText w:val="%5."/>
      <w:lvlJc w:val="left"/>
      <w:pPr>
        <w:ind w:left="2160" w:hanging="360"/>
      </w:pPr>
    </w:lvl>
    <w:lvl w:ilvl="5" w:tentative="0">
      <w:start w:val="1"/>
      <w:numFmt w:val="decimal"/>
      <w:lvlText w:val="%6."/>
      <w:lvlJc w:val="left"/>
      <w:pPr>
        <w:ind w:left="2520" w:hanging="360"/>
      </w:pPr>
    </w:lvl>
    <w:lvl w:ilvl="6" w:tentative="0">
      <w:start w:val="1"/>
      <w:numFmt w:val="decimal"/>
      <w:lvlText w:val="%7."/>
      <w:lvlJc w:val="left"/>
      <w:pPr>
        <w:ind w:left="2880" w:hanging="360"/>
      </w:pPr>
    </w:lvl>
    <w:lvl w:ilvl="7" w:tentative="0">
      <w:start w:val="1"/>
      <w:numFmt w:val="decimal"/>
      <w:lvlText w:val="%8."/>
      <w:lvlJc w:val="left"/>
      <w:pPr>
        <w:ind w:left="3240" w:hanging="360"/>
      </w:pPr>
    </w:lvl>
    <w:lvl w:ilvl="8" w:tentative="0">
      <w:start w:val="1"/>
      <w:numFmt w:val="decimal"/>
      <w:lvlText w:val="%9."/>
      <w:lvlJc w:val="left"/>
      <w:pPr>
        <w:ind w:left="3600" w:hanging="360"/>
      </w:pPr>
    </w:lvl>
  </w:abstractNum>
  <w:abstractNum w:abstractNumId="7">
    <w:nsid w:val="3E016F4D"/>
    <w:multiLevelType w:val="multilevel"/>
    <w:tmpl w:val="3E016F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9ADCABA"/>
    <w:multiLevelType w:val="multilevel"/>
    <w:tmpl w:val="59ADCABA"/>
    <w:lvl w:ilvl="0" w:tentative="0">
      <w:start w:val="28"/>
      <w:numFmt w:val="decimal"/>
      <w:lvlText w:val="%1."/>
      <w:lvlJc w:val="left"/>
      <w:pPr>
        <w:ind w:left="660" w:hanging="660"/>
      </w:pPr>
    </w:lvl>
    <w:lvl w:ilvl="1" w:tentative="0">
      <w:start w:val="5"/>
      <w:numFmt w:val="decimal"/>
      <w:lvlText w:val="%1.%2."/>
      <w:lvlJc w:val="left"/>
      <w:pPr>
        <w:ind w:left="1020" w:hanging="660"/>
      </w:pPr>
    </w:lvl>
    <w:lvl w:ilvl="2" w:tentative="0">
      <w:start w:val="1"/>
      <w:numFmt w:val="decimal"/>
      <w:lvlText w:val="%1.%2.%3."/>
      <w:lvlJc w:val="left"/>
      <w:pPr>
        <w:ind w:left="1440" w:hanging="720"/>
      </w:pPr>
    </w:lvl>
    <w:lvl w:ilvl="3" w:tentative="0">
      <w:start w:val="1"/>
      <w:numFmt w:val="decimal"/>
      <w:lvlText w:val="%1.%2.%3.%4."/>
      <w:lvlJc w:val="left"/>
      <w:pPr>
        <w:ind w:left="1800" w:hanging="720"/>
      </w:pPr>
    </w:lvl>
    <w:lvl w:ilvl="4" w:tentative="0">
      <w:start w:val="1"/>
      <w:numFmt w:val="decimal"/>
      <w:lvlText w:val="%1.%2.%3.%4.%5."/>
      <w:lvlJc w:val="left"/>
      <w:pPr>
        <w:ind w:left="2520" w:hanging="1080"/>
      </w:pPr>
    </w:lvl>
    <w:lvl w:ilvl="5" w:tentative="0">
      <w:start w:val="1"/>
      <w:numFmt w:val="decimal"/>
      <w:lvlText w:val="%1.%2.%3.%4.%5.%6."/>
      <w:lvlJc w:val="left"/>
      <w:pPr>
        <w:ind w:left="2880" w:hanging="1080"/>
      </w:pPr>
    </w:lvl>
    <w:lvl w:ilvl="6" w:tentative="0">
      <w:start w:val="1"/>
      <w:numFmt w:val="decimal"/>
      <w:lvlText w:val="%1.%2.%3.%4.%5.%6.%7."/>
      <w:lvlJc w:val="left"/>
      <w:pPr>
        <w:ind w:left="3600" w:hanging="1440"/>
      </w:pPr>
    </w:lvl>
    <w:lvl w:ilvl="7" w:tentative="0">
      <w:start w:val="1"/>
      <w:numFmt w:val="decimal"/>
      <w:lvlText w:val="%1.%2.%3.%4.%5.%6.%7.%8."/>
      <w:lvlJc w:val="left"/>
      <w:pPr>
        <w:ind w:left="3960" w:hanging="1440"/>
      </w:pPr>
    </w:lvl>
    <w:lvl w:ilvl="8" w:tentative="0">
      <w:start w:val="1"/>
      <w:numFmt w:val="decimal"/>
      <w:lvlText w:val="%1.%2.%3.%4.%5.%6.%7.%8.%9."/>
      <w:lvlJc w:val="left"/>
      <w:pPr>
        <w:ind w:left="4680" w:hanging="1800"/>
      </w:pPr>
    </w:lvl>
  </w:abstractNum>
  <w:num w:numId="1">
    <w:abstractNumId w:val="7"/>
  </w:num>
  <w:num w:numId="2">
    <w:abstractNumId w:val="5"/>
  </w:num>
  <w:num w:numId="3">
    <w:abstractNumId w:val="0"/>
  </w:num>
  <w:num w:numId="4">
    <w:abstractNumId w:val="3"/>
  </w:num>
  <w:num w:numId="5">
    <w:abstractNumId w:val="8"/>
  </w:num>
  <w:num w:numId="6">
    <w:abstractNumId w:val="2"/>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82D8D"/>
    <w:rsid w:val="000B4894"/>
    <w:rsid w:val="00172A27"/>
    <w:rsid w:val="001E0DB7"/>
    <w:rsid w:val="00453BF4"/>
    <w:rsid w:val="00742CE9"/>
    <w:rsid w:val="00742FD2"/>
    <w:rsid w:val="0088406A"/>
    <w:rsid w:val="008E78C2"/>
    <w:rsid w:val="008F2F7B"/>
    <w:rsid w:val="00A71E68"/>
    <w:rsid w:val="00C736EC"/>
    <w:rsid w:val="02514262"/>
    <w:rsid w:val="02AE37DD"/>
    <w:rsid w:val="03D70B9C"/>
    <w:rsid w:val="03EF4888"/>
    <w:rsid w:val="053C39EB"/>
    <w:rsid w:val="07DD00E1"/>
    <w:rsid w:val="08837CB0"/>
    <w:rsid w:val="0A822A57"/>
    <w:rsid w:val="0B874366"/>
    <w:rsid w:val="0BCE379F"/>
    <w:rsid w:val="0BF7548E"/>
    <w:rsid w:val="0C19295E"/>
    <w:rsid w:val="0D192A1B"/>
    <w:rsid w:val="0E934049"/>
    <w:rsid w:val="12410774"/>
    <w:rsid w:val="12A23000"/>
    <w:rsid w:val="13E71369"/>
    <w:rsid w:val="157913E6"/>
    <w:rsid w:val="16B637B6"/>
    <w:rsid w:val="17792F3B"/>
    <w:rsid w:val="17B577EF"/>
    <w:rsid w:val="1B03148C"/>
    <w:rsid w:val="1B6E3446"/>
    <w:rsid w:val="1C4479BD"/>
    <w:rsid w:val="1E1C45CE"/>
    <w:rsid w:val="1F6A38A9"/>
    <w:rsid w:val="20134E16"/>
    <w:rsid w:val="212402C1"/>
    <w:rsid w:val="22B930F9"/>
    <w:rsid w:val="265C5B88"/>
    <w:rsid w:val="27B86047"/>
    <w:rsid w:val="28DA6AC7"/>
    <w:rsid w:val="29B861B0"/>
    <w:rsid w:val="29D44316"/>
    <w:rsid w:val="2A595695"/>
    <w:rsid w:val="2AE948E4"/>
    <w:rsid w:val="2B8A4578"/>
    <w:rsid w:val="2DD502A0"/>
    <w:rsid w:val="30D20E2E"/>
    <w:rsid w:val="343F1DA3"/>
    <w:rsid w:val="36D11071"/>
    <w:rsid w:val="389C650F"/>
    <w:rsid w:val="39023A24"/>
    <w:rsid w:val="3A376555"/>
    <w:rsid w:val="3B371109"/>
    <w:rsid w:val="3B845262"/>
    <w:rsid w:val="3CA93BD9"/>
    <w:rsid w:val="3D9C09B9"/>
    <w:rsid w:val="3DBE72CA"/>
    <w:rsid w:val="3E5172F7"/>
    <w:rsid w:val="3E6E06CE"/>
    <w:rsid w:val="41FD6D3E"/>
    <w:rsid w:val="436306CF"/>
    <w:rsid w:val="47ED4CA2"/>
    <w:rsid w:val="480E2B68"/>
    <w:rsid w:val="484371BA"/>
    <w:rsid w:val="4B3B1B4A"/>
    <w:rsid w:val="4D332ED0"/>
    <w:rsid w:val="4DE246B3"/>
    <w:rsid w:val="4E907069"/>
    <w:rsid w:val="51514BE7"/>
    <w:rsid w:val="51A631B8"/>
    <w:rsid w:val="5428514E"/>
    <w:rsid w:val="54EC0922"/>
    <w:rsid w:val="56132408"/>
    <w:rsid w:val="56D94B83"/>
    <w:rsid w:val="570F0285"/>
    <w:rsid w:val="58AD2299"/>
    <w:rsid w:val="59226589"/>
    <w:rsid w:val="5991454F"/>
    <w:rsid w:val="59FC6541"/>
    <w:rsid w:val="5A61197C"/>
    <w:rsid w:val="5D432FF0"/>
    <w:rsid w:val="5DC225C7"/>
    <w:rsid w:val="608B3D9C"/>
    <w:rsid w:val="616F48EC"/>
    <w:rsid w:val="61F665F1"/>
    <w:rsid w:val="64E51666"/>
    <w:rsid w:val="651771CA"/>
    <w:rsid w:val="65622F2B"/>
    <w:rsid w:val="66AC1544"/>
    <w:rsid w:val="68165F6E"/>
    <w:rsid w:val="68781D71"/>
    <w:rsid w:val="6A6F4498"/>
    <w:rsid w:val="6BA745D8"/>
    <w:rsid w:val="6CD21805"/>
    <w:rsid w:val="6D5C792C"/>
    <w:rsid w:val="6EDF2E36"/>
    <w:rsid w:val="70037C9F"/>
    <w:rsid w:val="719F00EE"/>
    <w:rsid w:val="72D331D3"/>
    <w:rsid w:val="741B4D62"/>
    <w:rsid w:val="74FC7369"/>
    <w:rsid w:val="762865CF"/>
    <w:rsid w:val="76376BB1"/>
    <w:rsid w:val="765532B3"/>
    <w:rsid w:val="77053F00"/>
    <w:rsid w:val="77AC041D"/>
    <w:rsid w:val="78146840"/>
    <w:rsid w:val="7A3F6F6B"/>
    <w:rsid w:val="7C504A13"/>
    <w:rsid w:val="7D6C0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lt" w:eastAsia="en-US" w:bidi="ar-SA"/>
    </w:rPr>
  </w:style>
  <w:style w:type="paragraph" w:styleId="2">
    <w:name w:val="heading 1"/>
    <w:basedOn w:val="1"/>
    <w:next w:val="1"/>
    <w:qFormat/>
    <w:uiPriority w:val="0"/>
    <w:pPr>
      <w:keepNext/>
      <w:keepLines/>
      <w:spacing w:before="480" w:after="120"/>
      <w:outlineLvl w:val="0"/>
    </w:pPr>
    <w:rPr>
      <w:b/>
      <w:bCs/>
      <w:sz w:val="48"/>
      <w:szCs w:val="48"/>
    </w:rPr>
  </w:style>
  <w:style w:type="paragraph" w:styleId="3">
    <w:name w:val="heading 2"/>
    <w:basedOn w:val="1"/>
    <w:next w:val="1"/>
    <w:qFormat/>
    <w:uiPriority w:val="0"/>
    <w:pPr>
      <w:keepNext/>
      <w:keepLines/>
      <w:spacing w:before="360" w:after="80"/>
      <w:outlineLvl w:val="1"/>
    </w:pPr>
    <w:rPr>
      <w:b/>
      <w:bCs/>
      <w:sz w:val="36"/>
      <w:szCs w:val="36"/>
    </w:rPr>
  </w:style>
  <w:style w:type="paragraph" w:styleId="4">
    <w:name w:val="heading 3"/>
    <w:basedOn w:val="1"/>
    <w:next w:val="1"/>
    <w:qFormat/>
    <w:uiPriority w:val="0"/>
    <w:pPr>
      <w:keepNext/>
      <w:keepLines/>
      <w:spacing w:before="280" w:after="80"/>
      <w:outlineLvl w:val="2"/>
    </w:pPr>
    <w:rPr>
      <w:b/>
      <w:bCs/>
      <w:sz w:val="28"/>
      <w:szCs w:val="28"/>
    </w:rPr>
  </w:style>
  <w:style w:type="paragraph" w:styleId="5">
    <w:name w:val="heading 4"/>
    <w:basedOn w:val="1"/>
    <w:next w:val="1"/>
    <w:qFormat/>
    <w:uiPriority w:val="0"/>
    <w:pPr>
      <w:keepNext/>
      <w:keepLines/>
      <w:spacing w:before="240" w:after="40"/>
      <w:outlineLvl w:val="3"/>
    </w:pPr>
    <w:rPr>
      <w:b/>
      <w:bCs/>
      <w:sz w:val="24"/>
      <w:szCs w:val="24"/>
    </w:rPr>
  </w:style>
  <w:style w:type="paragraph" w:styleId="6">
    <w:name w:val="heading 5"/>
    <w:basedOn w:val="1"/>
    <w:next w:val="1"/>
    <w:qFormat/>
    <w:uiPriority w:val="0"/>
    <w:pPr>
      <w:keepNext/>
      <w:keepLines/>
      <w:spacing w:before="220" w:after="40"/>
      <w:outlineLvl w:val="4"/>
    </w:pPr>
    <w:rPr>
      <w:b/>
      <w:bCs/>
    </w:rPr>
  </w:style>
  <w:style w:type="paragraph" w:styleId="7">
    <w:name w:val="heading 6"/>
    <w:basedOn w:val="1"/>
    <w:next w:val="1"/>
    <w:qFormat/>
    <w:uiPriority w:val="0"/>
    <w:pPr>
      <w:keepNext/>
      <w:keepLines/>
      <w:spacing w:before="200" w:after="40"/>
      <w:outlineLvl w:val="5"/>
    </w:pPr>
    <w:rPr>
      <w:b/>
      <w:bCs/>
      <w:sz w:val="20"/>
      <w:szCs w:val="20"/>
    </w:rPr>
  </w:style>
  <w:style w:type="character" w:default="1" w:styleId="12">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8">
    <w:name w:val="footer"/>
    <w:basedOn w:val="1"/>
    <w:qFormat/>
    <w:uiPriority w:val="0"/>
    <w:pPr>
      <w:spacing w:after="0" w:line="240" w:lineRule="auto"/>
    </w:pPr>
    <w:rPr>
      <w:rFonts w:ascii="Times New Roman" w:hAnsi="Times New Roman" w:eastAsia="Times New Roman" w:cs="Times New Roman"/>
      <w:sz w:val="20"/>
      <w:szCs w:val="20"/>
      <w:lang w:val="lt-LT" w:eastAsia="zh-CN"/>
    </w:rPr>
  </w:style>
  <w:style w:type="paragraph" w:styleId="9">
    <w:name w:val="Normal (Web)"/>
    <w:qFormat/>
    <w:uiPriority w:val="0"/>
    <w:pPr>
      <w:spacing w:beforeAutospacing="1" w:after="0" w:afterAutospacing="1" w:line="259" w:lineRule="auto"/>
    </w:pPr>
    <w:rPr>
      <w:rFonts w:ascii="Times New Roman" w:hAnsi="Times New Roman" w:eastAsia="SimSun" w:cs="Times New Roman"/>
      <w:sz w:val="24"/>
      <w:szCs w:val="24"/>
      <w:lang w:val="en-US" w:eastAsia="zh-CN" w:bidi="ar-SA"/>
    </w:rPr>
  </w:style>
  <w:style w:type="paragraph" w:styleId="10">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spacing w:before="480" w:after="120"/>
    </w:pPr>
    <w:rPr>
      <w:b/>
      <w:bCs/>
      <w:sz w:val="72"/>
      <w:szCs w:val="72"/>
    </w:rPr>
  </w:style>
  <w:style w:type="character" w:styleId="13">
    <w:name w:val="Strong"/>
    <w:basedOn w:val="12"/>
    <w:qFormat/>
    <w:uiPriority w:val="0"/>
    <w:rPr>
      <w:b/>
      <w:bCs/>
    </w:rPr>
  </w:style>
  <w:style w:type="table" w:customStyle="1" w:styleId="15">
    <w:name w:val="TableNormal"/>
    <w:qFormat/>
    <w:uiPriority w:val="0"/>
    <w:tblPr>
      <w:tblLayout w:type="fixed"/>
      <w:tblCellMar>
        <w:top w:w="100" w:type="dxa"/>
        <w:left w:w="100" w:type="dxa"/>
        <w:bottom w:w="100" w:type="dxa"/>
        <w:right w:w="100" w:type="dxa"/>
      </w:tblCellMar>
    </w:tblPr>
  </w:style>
  <w:style w:type="paragraph" w:styleId="16">
    <w:name w:val="List Paragraph"/>
    <w:qFormat/>
    <w:uiPriority w:val="34"/>
    <w:pPr>
      <w:spacing w:after="0" w:line="240" w:lineRule="auto"/>
      <w:ind w:left="720"/>
      <w:contextualSpacing/>
    </w:pPr>
    <w:rPr>
      <w:rFonts w:ascii="Times New Roman" w:hAnsi="Times New Roman" w:eastAsia="Times New Roman" w:cs="Times New Roman"/>
      <w:sz w:val="24"/>
      <w:szCs w:val="24"/>
      <w:lang w:val="lt-LT" w:eastAsia="zh-CN" w:bidi="ar-SA"/>
    </w:rPr>
  </w:style>
  <w:style w:type="table" w:customStyle="1" w:styleId="17">
    <w:name w:val="_Style 13"/>
    <w:basedOn w:val="15"/>
    <w:qFormat/>
    <w:uiPriority w:val="0"/>
    <w:pPr>
      <w:widowControl w:val="0"/>
      <w:jc w:val="both"/>
    </w:pPr>
    <w:tblPr>
      <w:tblLayout w:type="fixed"/>
      <w:tblCellMar>
        <w:top w:w="0" w:type="dxa"/>
        <w:left w:w="108" w:type="dxa"/>
        <w:bottom w:w="0" w:type="dxa"/>
        <w:right w:w="108" w:type="dxa"/>
      </w:tblCellMar>
    </w:tblPr>
  </w:style>
  <w:style w:type="table" w:customStyle="1" w:styleId="18">
    <w:name w:val="_Style 18"/>
    <w:basedOn w:val="15"/>
    <w:qFormat/>
    <w:uiPriority w:val="0"/>
    <w:tblPr>
      <w:tblLayout w:type="fixed"/>
      <w:tblCellMar>
        <w:top w:w="0" w:type="dxa"/>
        <w:left w:w="108" w:type="dxa"/>
        <w:bottom w:w="0" w:type="dxa"/>
        <w:right w:w="108" w:type="dxa"/>
      </w:tblCellMar>
    </w:tblPr>
  </w:style>
  <w:style w:type="table" w:customStyle="1" w:styleId="19">
    <w:name w:val="_Style 19"/>
    <w:basedOn w:val="15"/>
    <w:qFormat/>
    <w:uiPriority w:val="0"/>
    <w:tblPr>
      <w:tblLayout w:type="fixed"/>
      <w:tblCellMar>
        <w:top w:w="0" w:type="dxa"/>
        <w:left w:w="108" w:type="dxa"/>
        <w:bottom w:w="0" w:type="dxa"/>
        <w:right w:w="108" w:type="dxa"/>
      </w:tblCellMar>
    </w:tblPr>
  </w:style>
  <w:style w:type="table" w:customStyle="1" w:styleId="20">
    <w:name w:val="_Style 20"/>
    <w:basedOn w:val="15"/>
    <w:qFormat/>
    <w:uiPriority w:val="0"/>
    <w:tblPr>
      <w:tblLayout w:type="fixed"/>
      <w:tblCellMar>
        <w:top w:w="0" w:type="dxa"/>
        <w:left w:w="108" w:type="dxa"/>
        <w:bottom w:w="0" w:type="dxa"/>
        <w:right w:w="108" w:type="dxa"/>
      </w:tblCellMar>
    </w:tblPr>
  </w:style>
  <w:style w:type="table" w:customStyle="1" w:styleId="21">
    <w:name w:val="_Style 21"/>
    <w:basedOn w:val="15"/>
    <w:qFormat/>
    <w:uiPriority w:val="0"/>
    <w:tblPr>
      <w:tblLayout w:type="fixed"/>
      <w:tblCellMar>
        <w:top w:w="0" w:type="dxa"/>
        <w:left w:w="108" w:type="dxa"/>
        <w:bottom w:w="0" w:type="dxa"/>
        <w:right w:w="108" w:type="dxa"/>
      </w:tblCellMar>
    </w:tblPr>
  </w:style>
  <w:style w:type="table" w:customStyle="1" w:styleId="22">
    <w:name w:val="_Style 22"/>
    <w:basedOn w:val="15"/>
    <w:qFormat/>
    <w:uiPriority w:val="0"/>
    <w:tblPr>
      <w:tblLayout w:type="fixed"/>
      <w:tblCellMar>
        <w:top w:w="0" w:type="dxa"/>
        <w:left w:w="108" w:type="dxa"/>
        <w:bottom w:w="0" w:type="dxa"/>
        <w:right w:w="108" w:type="dxa"/>
      </w:tblCellMar>
    </w:tblPr>
  </w:style>
  <w:style w:type="table" w:customStyle="1" w:styleId="23">
    <w:name w:val="_Style 23"/>
    <w:basedOn w:val="15"/>
    <w:qFormat/>
    <w:uiPriority w:val="0"/>
    <w:tblPr>
      <w:tblLayout w:type="fixed"/>
      <w:tblCellMar>
        <w:top w:w="0" w:type="dxa"/>
        <w:left w:w="108" w:type="dxa"/>
        <w:bottom w:w="0" w:type="dxa"/>
        <w:right w:w="108" w:type="dxa"/>
      </w:tblCellMar>
    </w:tblPr>
  </w:style>
  <w:style w:type="table" w:customStyle="1" w:styleId="24">
    <w:name w:val="_Style 24"/>
    <w:basedOn w:val="15"/>
    <w:qFormat/>
    <w:uiPriority w:val="0"/>
    <w:tblPr>
      <w:tblLayout w:type="fixed"/>
      <w:tblCellMar>
        <w:top w:w="0" w:type="dxa"/>
        <w:left w:w="108" w:type="dxa"/>
        <w:bottom w:w="0" w:type="dxa"/>
        <w:right w:w="108" w:type="dxa"/>
      </w:tblCellMar>
    </w:tblPr>
  </w:style>
  <w:style w:type="table" w:customStyle="1" w:styleId="25">
    <w:name w:val="_Style 25"/>
    <w:basedOn w:val="15"/>
    <w:qFormat/>
    <w:uiPriority w:val="0"/>
    <w:tblPr>
      <w:tblLayout w:type="fixed"/>
      <w:tblCellMar>
        <w:top w:w="0" w:type="dxa"/>
        <w:left w:w="108" w:type="dxa"/>
        <w:bottom w:w="0" w:type="dxa"/>
        <w:right w:w="108" w:type="dxa"/>
      </w:tblCellMar>
    </w:tblPr>
  </w:style>
  <w:style w:type="table" w:customStyle="1" w:styleId="26">
    <w:name w:val="_Style 26"/>
    <w:basedOn w:val="15"/>
    <w:qFormat/>
    <w:uiPriority w:val="0"/>
    <w:tblPr>
      <w:tblLayout w:type="fixed"/>
      <w:tblCellMar>
        <w:top w:w="0" w:type="dxa"/>
        <w:left w:w="108" w:type="dxa"/>
        <w:bottom w:w="0" w:type="dxa"/>
        <w:right w:w="108" w:type="dxa"/>
      </w:tblCellMar>
    </w:tblPr>
  </w:style>
  <w:style w:type="table" w:customStyle="1" w:styleId="27">
    <w:name w:val="_Style 27"/>
    <w:basedOn w:val="15"/>
    <w:qFormat/>
    <w:uiPriority w:val="0"/>
    <w:tblPr>
      <w:tblLayout w:type="fixed"/>
      <w:tblCellMar>
        <w:top w:w="0" w:type="dxa"/>
        <w:left w:w="108" w:type="dxa"/>
        <w:bottom w:w="0" w:type="dxa"/>
        <w:right w:w="108" w:type="dxa"/>
      </w:tblCellMar>
    </w:tblPr>
  </w:style>
  <w:style w:type="table" w:customStyle="1" w:styleId="28">
    <w:name w:val="_Style 28"/>
    <w:basedOn w:val="15"/>
    <w:qFormat/>
    <w:uiPriority w:val="0"/>
    <w:tblPr>
      <w:tblLayout w:type="fixed"/>
      <w:tblCellMar>
        <w:top w:w="0" w:type="dxa"/>
        <w:left w:w="108" w:type="dxa"/>
        <w:bottom w:w="0" w:type="dxa"/>
        <w:right w:w="108" w:type="dxa"/>
      </w:tblCellMar>
    </w:tblPr>
  </w:style>
  <w:style w:type="table" w:customStyle="1" w:styleId="29">
    <w:name w:val="_Style 29"/>
    <w:basedOn w:val="15"/>
    <w:qFormat/>
    <w:uiPriority w:val="0"/>
    <w:tblPr>
      <w:tblLayout w:type="fixed"/>
      <w:tblCellMar>
        <w:top w:w="0" w:type="dxa"/>
        <w:left w:w="108" w:type="dxa"/>
        <w:bottom w:w="0" w:type="dxa"/>
        <w:right w:w="108" w:type="dxa"/>
      </w:tblCellMar>
    </w:tblPr>
  </w:style>
  <w:style w:type="table" w:customStyle="1" w:styleId="30">
    <w:name w:val="_Style 30"/>
    <w:basedOn w:val="15"/>
    <w:qFormat/>
    <w:uiPriority w:val="0"/>
    <w:tblPr>
      <w:tblLayout w:type="fixed"/>
      <w:tblCellMar>
        <w:top w:w="0" w:type="dxa"/>
        <w:left w:w="108" w:type="dxa"/>
        <w:bottom w:w="0" w:type="dxa"/>
        <w:right w:w="108" w:type="dxa"/>
      </w:tblCellMar>
    </w:tblPr>
  </w:style>
  <w:style w:type="table" w:customStyle="1" w:styleId="31">
    <w:name w:val="_Style 31"/>
    <w:basedOn w:val="15"/>
    <w:qFormat/>
    <w:uiPriority w:val="0"/>
    <w:tblPr>
      <w:tblLayout w:type="fixed"/>
      <w:tblCellMar>
        <w:top w:w="0" w:type="dxa"/>
        <w:left w:w="108" w:type="dxa"/>
        <w:bottom w:w="0" w:type="dxa"/>
        <w:right w:w="108" w:type="dxa"/>
      </w:tblCellMar>
    </w:tblPr>
  </w:style>
  <w:style w:type="table" w:customStyle="1" w:styleId="32">
    <w:name w:val="_Style 32"/>
    <w:basedOn w:val="15"/>
    <w:qFormat/>
    <w:uiPriority w:val="0"/>
    <w:tblPr>
      <w:tblLayout w:type="fixed"/>
      <w:tblCellMar>
        <w:top w:w="0" w:type="dxa"/>
        <w:left w:w="108" w:type="dxa"/>
        <w:bottom w:w="0" w:type="dxa"/>
        <w:right w:w="108" w:type="dxa"/>
      </w:tblCellMar>
    </w:tblPr>
  </w:style>
  <w:style w:type="table" w:customStyle="1" w:styleId="33">
    <w:name w:val="_Style 33"/>
    <w:basedOn w:val="15"/>
    <w:qFormat/>
    <w:uiPriority w:val="0"/>
    <w:tblPr>
      <w:tblLayout w:type="fixed"/>
      <w:tblCellMar>
        <w:top w:w="0" w:type="dxa"/>
        <w:left w:w="108" w:type="dxa"/>
        <w:bottom w:w="0" w:type="dxa"/>
        <w:right w:w="108" w:type="dxa"/>
      </w:tblCellMar>
    </w:tblPr>
  </w:style>
  <w:style w:type="table" w:customStyle="1" w:styleId="34">
    <w:name w:val="_Style 34"/>
    <w:basedOn w:val="15"/>
    <w:qFormat/>
    <w:uiPriority w:val="0"/>
    <w:tblPr>
      <w:tblLayout w:type="fixed"/>
      <w:tblCellMar>
        <w:top w:w="0" w:type="dxa"/>
        <w:left w:w="108" w:type="dxa"/>
        <w:bottom w:w="0" w:type="dxa"/>
        <w:right w:w="108" w:type="dxa"/>
      </w:tblCellMar>
    </w:tblPr>
  </w:style>
  <w:style w:type="table" w:customStyle="1" w:styleId="35">
    <w:name w:val="_Style 35"/>
    <w:basedOn w:val="15"/>
    <w:qFormat/>
    <w:uiPriority w:val="0"/>
    <w:tblPr>
      <w:tblLayout w:type="fixed"/>
      <w:tblCellMar>
        <w:top w:w="0" w:type="dxa"/>
        <w:left w:w="108" w:type="dxa"/>
        <w:bottom w:w="0" w:type="dxa"/>
        <w:right w:w="108" w:type="dxa"/>
      </w:tblCellMar>
    </w:tblPr>
  </w:style>
  <w:style w:type="table" w:customStyle="1" w:styleId="36">
    <w:name w:val="_Style 36"/>
    <w:basedOn w:val="15"/>
    <w:qFormat/>
    <w:uiPriority w:val="0"/>
    <w:tblPr>
      <w:tblLayout w:type="fixed"/>
      <w:tblCellMar>
        <w:top w:w="0" w:type="dxa"/>
        <w:left w:w="108" w:type="dxa"/>
        <w:bottom w:w="0" w:type="dxa"/>
        <w:right w:w="108" w:type="dxa"/>
      </w:tblCellMar>
    </w:tblPr>
  </w:style>
  <w:style w:type="table" w:customStyle="1" w:styleId="37">
    <w:name w:val="_Style 37"/>
    <w:basedOn w:val="15"/>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9jjLvyaz+pCkBm28RjzrvowO5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Mg5oLjNmZ2djaGx0NXJxbzIOaC5vcnE0cHA1aGhmN2YyDmguNHFwZDlzbWFlbGZ4Mg5oLnIyYXEyeTlrNnIyaTgAciExdUpyWi1mNXRLdjJ4aC1QQmVzSFgxeVlkNDNXc3NCOWg=</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17475</Words>
  <Characters>99610</Characters>
  <Lines>830</Lines>
  <Paragraphs>233</Paragraphs>
  <ScaleCrop>false</ScaleCrop>
  <LinksUpToDate>false</LinksUpToDate>
  <CharactersWithSpaces>116852</CharactersWithSpaces>
  <Application>WPS Office_10.2.0.6051_F1E327BC-269C-435d-A152-05C5408002CA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2026-08-31T07:53:00Z</dcterms:created>
  <dc:creator>User</dc:creator>
  <cp:lastModifiedBy>User</cp:lastModifiedBy>
  <cp:lastPrinted>2026-09-02T06:27:00Z</cp:lastPrinted>
  <dcterms:modified xsi:type="dcterms:W3CDTF">2026-09-16T08:04:18Z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1033-10.2.0.6051</vt:lpwstr>
  </property>
</Properties>
</file>