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76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1"/>
        <w:gridCol w:w="8095"/>
      </w:tblGrid>
      <w:tr w:rsidR="008847A2" w:rsidRPr="008847A2" w:rsidTr="008E1782">
        <w:tc>
          <w:tcPr>
            <w:tcW w:w="6681" w:type="dxa"/>
            <w:tcBorders>
              <w:right w:val="nil"/>
            </w:tcBorders>
            <w:shd w:val="clear" w:color="auto" w:fill="auto"/>
          </w:tcPr>
          <w:p w:rsidR="000502DC" w:rsidRPr="00614C5C" w:rsidRDefault="000502DC" w:rsidP="002D3E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bookmarkStart w:id="0" w:name="_GoBack"/>
            <w:bookmarkEnd w:id="0"/>
          </w:p>
        </w:tc>
        <w:tc>
          <w:tcPr>
            <w:tcW w:w="80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502DC" w:rsidRPr="008847A2" w:rsidRDefault="000502DC" w:rsidP="00403568">
            <w:pPr>
              <w:spacing w:after="0" w:line="240" w:lineRule="auto"/>
              <w:ind w:left="3220" w:right="-678" w:hanging="7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8847A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PATVIRTINTA</w:t>
            </w:r>
          </w:p>
          <w:p w:rsidR="000502DC" w:rsidRPr="008847A2" w:rsidRDefault="000502DC" w:rsidP="00403568">
            <w:pPr>
              <w:spacing w:after="0" w:line="240" w:lineRule="auto"/>
              <w:ind w:left="3220" w:right="-678" w:hanging="7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8847A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Klaipėdos uostamiesčio progimnazijos</w:t>
            </w:r>
          </w:p>
          <w:p w:rsidR="000502DC" w:rsidRPr="008847A2" w:rsidRDefault="000502DC" w:rsidP="00403568">
            <w:pPr>
              <w:spacing w:after="0" w:line="240" w:lineRule="auto"/>
              <w:ind w:left="3220" w:right="-678" w:hanging="7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8847A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direktoriaus</w:t>
            </w:r>
            <w:r w:rsidR="003C482A" w:rsidRPr="008847A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E60AF4" w:rsidRPr="008847A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2025</w:t>
            </w:r>
            <w:r w:rsidRPr="008847A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m. </w:t>
            </w:r>
            <w:r w:rsidR="00E60AF4" w:rsidRPr="008847A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sausio </w:t>
            </w:r>
            <w:r w:rsidRPr="008847A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d.</w:t>
            </w:r>
            <w:r w:rsidR="008847A2" w:rsidRPr="008847A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30</w:t>
            </w:r>
            <w:r w:rsidRPr="008847A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įs</w:t>
            </w:r>
            <w:r w:rsidR="003C482A" w:rsidRPr="008847A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akymu Nr. V1-</w:t>
            </w:r>
            <w:r w:rsidR="008847A2" w:rsidRPr="008847A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23</w:t>
            </w:r>
          </w:p>
        </w:tc>
      </w:tr>
    </w:tbl>
    <w:p w:rsidR="000502DC" w:rsidRPr="00EE5287" w:rsidRDefault="000502DC" w:rsidP="00403568">
      <w:pPr>
        <w:widowControl w:val="0"/>
        <w:spacing w:before="240" w:after="60" w:line="276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val="lt-LT" w:eastAsia="lt-LT"/>
        </w:rPr>
      </w:pPr>
      <w:r w:rsidRPr="00614C5C">
        <w:rPr>
          <w:rFonts w:ascii="Times New Roman" w:eastAsia="Times New Roman" w:hAnsi="Times New Roman" w:cs="Arial"/>
          <w:b/>
          <w:bCs/>
          <w:iCs/>
          <w:sz w:val="24"/>
          <w:szCs w:val="24"/>
          <w:lang w:val="lt-LT" w:eastAsia="lt-LT"/>
        </w:rPr>
        <w:t>KLAIPĖ</w:t>
      </w:r>
      <w:r>
        <w:rPr>
          <w:rFonts w:ascii="Times New Roman" w:eastAsia="Times New Roman" w:hAnsi="Times New Roman" w:cs="Arial"/>
          <w:b/>
          <w:bCs/>
          <w:iCs/>
          <w:sz w:val="24"/>
          <w:szCs w:val="24"/>
          <w:lang w:val="lt-LT" w:eastAsia="lt-LT"/>
        </w:rPr>
        <w:t xml:space="preserve">DOS UOSTAMIESČIO PROGIMNAZIJOS </w:t>
      </w:r>
      <w:r w:rsidR="00912725">
        <w:rPr>
          <w:rFonts w:ascii="Times New Roman" w:eastAsia="Times New Roman" w:hAnsi="Times New Roman" w:cs="Arial"/>
          <w:b/>
          <w:bCs/>
          <w:iCs/>
          <w:sz w:val="24"/>
          <w:szCs w:val="24"/>
          <w:lang w:val="lt-LT" w:eastAsia="lt-LT"/>
        </w:rPr>
        <w:t>2025–2027</w:t>
      </w:r>
      <w:r w:rsidRPr="00614C5C">
        <w:rPr>
          <w:rFonts w:ascii="Times New Roman" w:eastAsia="Times New Roman" w:hAnsi="Times New Roman" w:cs="Arial"/>
          <w:b/>
          <w:bCs/>
          <w:iCs/>
          <w:sz w:val="24"/>
          <w:szCs w:val="24"/>
          <w:lang w:val="lt-LT" w:eastAsia="lt-LT"/>
        </w:rPr>
        <w:t xml:space="preserve"> METŲ</w:t>
      </w:r>
      <w:r>
        <w:rPr>
          <w:rFonts w:ascii="Times New Roman" w:eastAsia="Times New Roman" w:hAnsi="Times New Roman" w:cs="Arial"/>
          <w:b/>
          <w:bCs/>
          <w:iCs/>
          <w:sz w:val="24"/>
          <w:szCs w:val="24"/>
          <w:lang w:val="lt-LT" w:eastAsia="lt-LT"/>
        </w:rPr>
        <w:t xml:space="preserve"> </w:t>
      </w:r>
      <w:r w:rsidRPr="00614C5C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EKSTREMALIŲJŲ SITUACIJŲ PREVENCIJOS</w:t>
      </w:r>
    </w:p>
    <w:p w:rsidR="000502DC" w:rsidRPr="00614C5C" w:rsidRDefault="000502DC" w:rsidP="00403568">
      <w:pPr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r w:rsidRPr="00614C5C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PRIEMONIŲ PLANAS</w:t>
      </w:r>
    </w:p>
    <w:p w:rsidR="000502DC" w:rsidRPr="004C2473" w:rsidRDefault="003C482A" w:rsidP="00403568">
      <w:pPr>
        <w:widowControl w:val="0"/>
        <w:spacing w:before="240" w:after="60" w:line="240" w:lineRule="auto"/>
        <w:ind w:right="-567" w:firstLine="851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Arial"/>
          <w:bCs/>
          <w:iCs/>
          <w:sz w:val="24"/>
          <w:szCs w:val="24"/>
          <w:lang w:val="lt-LT" w:eastAsia="lt-LT"/>
        </w:rPr>
        <w:t>Klaipėdos uostamiesčio</w:t>
      </w:r>
      <w:r w:rsidR="000502DC" w:rsidRPr="00614C5C">
        <w:rPr>
          <w:rFonts w:ascii="Times New Roman" w:eastAsia="Times New Roman" w:hAnsi="Times New Roman" w:cs="Arial"/>
          <w:bCs/>
          <w:iCs/>
          <w:sz w:val="24"/>
          <w:szCs w:val="24"/>
          <w:lang w:val="lt-LT" w:eastAsia="lt-LT"/>
        </w:rPr>
        <w:t xml:space="preserve"> </w:t>
      </w:r>
      <w:r w:rsidR="000502DC">
        <w:rPr>
          <w:rFonts w:ascii="Times New Roman" w:eastAsia="Times New Roman" w:hAnsi="Times New Roman" w:cs="Arial"/>
          <w:bCs/>
          <w:iCs/>
          <w:sz w:val="24"/>
          <w:szCs w:val="24"/>
          <w:lang w:val="lt-LT" w:eastAsia="lt-LT"/>
        </w:rPr>
        <w:t>progimnazijos (toliau – P</w:t>
      </w:r>
      <w:r w:rsidR="00E60AF4">
        <w:rPr>
          <w:rFonts w:ascii="Times New Roman" w:eastAsia="Times New Roman" w:hAnsi="Times New Roman" w:cs="Arial"/>
          <w:bCs/>
          <w:iCs/>
          <w:sz w:val="24"/>
          <w:szCs w:val="24"/>
          <w:lang w:val="lt-LT" w:eastAsia="lt-LT"/>
        </w:rPr>
        <w:t>rogimnazija) 2025–2027</w:t>
      </w:r>
      <w:r w:rsidR="000502DC" w:rsidRPr="00614C5C">
        <w:rPr>
          <w:rFonts w:ascii="Times New Roman" w:eastAsia="Times New Roman" w:hAnsi="Times New Roman" w:cs="Arial"/>
          <w:bCs/>
          <w:iCs/>
          <w:sz w:val="24"/>
          <w:szCs w:val="24"/>
          <w:lang w:val="lt-LT" w:eastAsia="lt-LT"/>
        </w:rPr>
        <w:t xml:space="preserve"> metų </w:t>
      </w:r>
      <w:r w:rsidR="000502DC" w:rsidRPr="00614C5C">
        <w:rPr>
          <w:rFonts w:ascii="Times New Roman" w:eastAsia="Times New Roman" w:hAnsi="Times New Roman" w:cs="Arial"/>
          <w:iCs/>
          <w:sz w:val="24"/>
          <w:szCs w:val="24"/>
          <w:lang w:val="lt-LT" w:eastAsia="lt-LT"/>
        </w:rPr>
        <w:t xml:space="preserve">Ekstremaliųjų situacijų prevencijos priemonių planas parengtas vadovaujantis Ekstremaliųjų situacijų prevencijos vykdymo tvarkos aprašu, patvirtintu  </w:t>
      </w:r>
      <w:r w:rsidR="000502DC" w:rsidRPr="004C2473">
        <w:rPr>
          <w:rFonts w:ascii="Times New Roman" w:eastAsia="Times New Roman" w:hAnsi="Times New Roman" w:cs="Arial"/>
          <w:iCs/>
          <w:sz w:val="24"/>
          <w:szCs w:val="24"/>
          <w:lang w:val="lt-LT" w:eastAsia="lt-LT"/>
        </w:rPr>
        <w:t>LR vyriausybės 2010 m. liepos 14 d. nutarimu Nr. 1028 „Dėl ekstremaliųjų situacijų prevencijos vykdymo tvarkos aprašo patvirtinimo“.</w:t>
      </w:r>
    </w:p>
    <w:p w:rsidR="000502DC" w:rsidRPr="004C2473" w:rsidRDefault="000502DC" w:rsidP="000502DC">
      <w:pPr>
        <w:spacing w:after="0" w:line="240" w:lineRule="auto"/>
        <w:ind w:right="680"/>
        <w:rPr>
          <w:rFonts w:ascii="Times New Roman" w:eastAsia="Times New Roman" w:hAnsi="Times New Roman"/>
          <w:sz w:val="28"/>
          <w:szCs w:val="20"/>
          <w:lang w:val="lt-LT" w:eastAsia="lt-LT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2338"/>
        <w:gridCol w:w="2735"/>
        <w:gridCol w:w="4218"/>
        <w:gridCol w:w="2813"/>
        <w:gridCol w:w="2251"/>
      </w:tblGrid>
      <w:tr w:rsidR="00403568" w:rsidRPr="00F83BC0" w:rsidTr="00BD2FB9">
        <w:trPr>
          <w:tblHeader/>
        </w:trPr>
        <w:tc>
          <w:tcPr>
            <w:tcW w:w="229" w:type="pct"/>
            <w:shd w:val="clear" w:color="auto" w:fill="auto"/>
          </w:tcPr>
          <w:p w:rsidR="000502DC" w:rsidRPr="00614C5C" w:rsidRDefault="000502DC" w:rsidP="002D3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0502DC" w:rsidRPr="00614C5C" w:rsidRDefault="000502DC" w:rsidP="002D3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Priemonės pavadinimas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0502DC" w:rsidRPr="00614C5C" w:rsidRDefault="000502DC" w:rsidP="002D3EC5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Tikslai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0502DC" w:rsidRPr="00614C5C" w:rsidRDefault="000502DC" w:rsidP="002D3EC5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Priemonės tikslams pasiekti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0502DC" w:rsidRPr="00614C5C" w:rsidRDefault="000502DC" w:rsidP="002D3EC5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Atsakingi vykdytojai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0502DC" w:rsidRPr="00614C5C" w:rsidRDefault="000502DC" w:rsidP="002D3EC5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  <w:t>Įgyvendinimo terminai</w:t>
            </w:r>
          </w:p>
        </w:tc>
      </w:tr>
      <w:tr w:rsidR="0095327A" w:rsidRPr="00F83BC0" w:rsidTr="001A7CC4">
        <w:trPr>
          <w:trHeight w:val="2032"/>
        </w:trPr>
        <w:tc>
          <w:tcPr>
            <w:tcW w:w="229" w:type="pct"/>
            <w:vMerge w:val="restart"/>
            <w:shd w:val="clear" w:color="auto" w:fill="auto"/>
          </w:tcPr>
          <w:p w:rsidR="0095327A" w:rsidRPr="00BD2FB9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77" w:type="pct"/>
            <w:vMerge w:val="restart"/>
            <w:shd w:val="clear" w:color="auto" w:fill="auto"/>
          </w:tcPr>
          <w:p w:rsidR="0095327A" w:rsidRPr="0095327A" w:rsidRDefault="001A7CC4" w:rsidP="0095327A">
            <w:pPr>
              <w:tabs>
                <w:tab w:val="left" w:pos="319"/>
                <w:tab w:val="left" w:pos="35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Avarinių situacijų, įvykių ar ekstremaliųjų įvykių kilimo tikimybės mažinimas</w:t>
            </w:r>
          </w:p>
        </w:tc>
        <w:tc>
          <w:tcPr>
            <w:tcW w:w="909" w:type="pct"/>
            <w:shd w:val="clear" w:color="auto" w:fill="auto"/>
          </w:tcPr>
          <w:p w:rsidR="0095327A" w:rsidRPr="00614C5C" w:rsidRDefault="001A7CC4" w:rsidP="00AD189B">
            <w:pPr>
              <w:spacing w:after="0" w:line="240" w:lineRule="auto"/>
              <w:ind w:left="34" w:right="-85" w:hanging="34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1A7CC4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Atnaujinti ekstremaliųjų situacijų valdymo ir prevencijos dokumentus</w:t>
            </w:r>
          </w:p>
        </w:tc>
        <w:tc>
          <w:tcPr>
            <w:tcW w:w="1402" w:type="pct"/>
            <w:shd w:val="clear" w:color="auto" w:fill="auto"/>
          </w:tcPr>
          <w:p w:rsidR="001A7CC4" w:rsidRPr="001A7CC4" w:rsidRDefault="001A7CC4" w:rsidP="001A7CC4">
            <w:pPr>
              <w:numPr>
                <w:ilvl w:val="0"/>
                <w:numId w:val="3"/>
              </w:numPr>
              <w:tabs>
                <w:tab w:val="left" w:pos="324"/>
              </w:tabs>
              <w:spacing w:after="0" w:line="240" w:lineRule="auto"/>
              <w:ind w:left="40" w:right="-85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A7CC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Peržiūrėti ir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patikslinti ar </w:t>
            </w:r>
            <w:r w:rsidRPr="001A7CC4">
              <w:rPr>
                <w:rFonts w:ascii="Times New Roman" w:hAnsi="Times New Roman"/>
                <w:sz w:val="24"/>
                <w:szCs w:val="24"/>
                <w:lang w:val="lt-LT"/>
              </w:rPr>
              <w:t>atnaujinti  ekstremaliųjų situacijų prevencijos priemonių planą.</w:t>
            </w:r>
          </w:p>
          <w:p w:rsidR="001A7CC4" w:rsidRPr="001A7CC4" w:rsidRDefault="001A7CC4" w:rsidP="001A7CC4">
            <w:pPr>
              <w:numPr>
                <w:ilvl w:val="0"/>
                <w:numId w:val="3"/>
              </w:numPr>
              <w:tabs>
                <w:tab w:val="left" w:pos="324"/>
              </w:tabs>
              <w:spacing w:after="0" w:line="240" w:lineRule="auto"/>
              <w:ind w:left="40" w:right="-85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1A7CC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Peržiūrėti ir prireikus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patikslinti ar </w:t>
            </w:r>
            <w:r w:rsidRPr="001A7CC4">
              <w:rPr>
                <w:rFonts w:ascii="Times New Roman" w:hAnsi="Times New Roman"/>
                <w:sz w:val="24"/>
                <w:szCs w:val="24"/>
                <w:lang w:val="lt-LT"/>
              </w:rPr>
              <w:t>atnaujinti ekstremaliųjų situacijų valdymo planą bei galimų pavojų ir ekstremaliųjų</w:t>
            </w:r>
          </w:p>
          <w:p w:rsidR="0095327A" w:rsidRPr="00614C5C" w:rsidRDefault="001A7CC4" w:rsidP="001A7CC4">
            <w:pPr>
              <w:tabs>
                <w:tab w:val="left" w:pos="324"/>
              </w:tabs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1A7CC4">
              <w:rPr>
                <w:rFonts w:ascii="Times New Roman" w:hAnsi="Times New Roman"/>
                <w:sz w:val="24"/>
                <w:szCs w:val="24"/>
                <w:lang w:val="lt-LT"/>
              </w:rPr>
              <w:t>situacijų rizikos analizę.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5327A" w:rsidRPr="00614C5C" w:rsidRDefault="0095327A" w:rsidP="001A7CC4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Progimnazijos direktoriaus pavaduotojas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ugdymui</w:t>
            </w: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, atsakingas už CS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95327A" w:rsidRPr="00614C5C" w:rsidRDefault="0095327A" w:rsidP="001A7CC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  <w:p w:rsidR="0095327A" w:rsidRPr="00614C5C" w:rsidRDefault="001A7CC4" w:rsidP="001A7CC4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(</w:t>
            </w:r>
            <w:r w:rsidR="0095327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kasm</w:t>
            </w:r>
            <w:r w:rsidR="0076650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et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)</w:t>
            </w:r>
          </w:p>
        </w:tc>
      </w:tr>
      <w:tr w:rsidR="0095327A" w:rsidRPr="005E45C4" w:rsidTr="005E45C4">
        <w:trPr>
          <w:trHeight w:val="2235"/>
        </w:trPr>
        <w:tc>
          <w:tcPr>
            <w:tcW w:w="229" w:type="pct"/>
            <w:vMerge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09" w:type="pct"/>
            <w:shd w:val="clear" w:color="auto" w:fill="auto"/>
          </w:tcPr>
          <w:p w:rsidR="0095327A" w:rsidRPr="00E64811" w:rsidRDefault="0095327A" w:rsidP="0095327A">
            <w:pPr>
              <w:pStyle w:val="ListParagraph"/>
              <w:tabs>
                <w:tab w:val="left" w:pos="238"/>
              </w:tabs>
              <w:spacing w:after="0" w:line="240" w:lineRule="auto"/>
              <w:ind w:left="0"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BD2FB9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Mažinti gaisro kilimo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tikimybę, aktyvinti darbuotojų informavimą apie grėsmes</w:t>
            </w:r>
          </w:p>
        </w:tc>
        <w:tc>
          <w:tcPr>
            <w:tcW w:w="1402" w:type="pct"/>
            <w:shd w:val="clear" w:color="auto" w:fill="auto"/>
          </w:tcPr>
          <w:p w:rsidR="0095327A" w:rsidRPr="00E64811" w:rsidRDefault="0095327A" w:rsidP="00AD189B">
            <w:pPr>
              <w:tabs>
                <w:tab w:val="left" w:pos="40"/>
                <w:tab w:val="left" w:pos="172"/>
                <w:tab w:val="left" w:pos="313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1. </w:t>
            </w:r>
            <w:r w:rsidRPr="00E64811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Kontroliuoti, kaip laikomasi priešgaisrinių apsaugos taisyklių (elektros laidų būklė, saugus elektrinės įrangos naudojimas).</w:t>
            </w:r>
          </w:p>
          <w:p w:rsidR="0095327A" w:rsidRPr="00AD189B" w:rsidRDefault="0095327A" w:rsidP="00AD189B">
            <w:pPr>
              <w:pStyle w:val="ListParagraph"/>
              <w:numPr>
                <w:ilvl w:val="0"/>
                <w:numId w:val="8"/>
              </w:numPr>
              <w:tabs>
                <w:tab w:val="left" w:pos="40"/>
                <w:tab w:val="left" w:pos="182"/>
                <w:tab w:val="left" w:pos="313"/>
              </w:tabs>
              <w:spacing w:after="0" w:line="240" w:lineRule="auto"/>
              <w:ind w:left="30" w:right="40"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1C4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Įspėti darbuotojus apie padidėjusį gaisrų pavojų dėl sausros, </w:t>
            </w:r>
            <w:r w:rsidRPr="00F83BC0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artėjantį uraganą ar maksimaliai sustiprėjusį vėją</w:t>
            </w:r>
          </w:p>
        </w:tc>
        <w:tc>
          <w:tcPr>
            <w:tcW w:w="935" w:type="pct"/>
            <w:shd w:val="clear" w:color="auto" w:fill="auto"/>
          </w:tcPr>
          <w:p w:rsidR="0095327A" w:rsidRDefault="0095327A" w:rsidP="0095327A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Progimnazijos direktoriaus</w:t>
            </w:r>
          </w:p>
          <w:p w:rsidR="0095327A" w:rsidRPr="00614C5C" w:rsidRDefault="0095327A" w:rsidP="0095327A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pavaduotoja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s ūkio ir bendriesiems klausimams</w:t>
            </w:r>
          </w:p>
          <w:p w:rsidR="0095327A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Pr="00614C5C" w:rsidRDefault="0095327A" w:rsidP="0095327A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Progimnazijos direktoriaus pavaduotojas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ugdymui</w:t>
            </w: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, atsakingas už CS</w:t>
            </w:r>
          </w:p>
        </w:tc>
        <w:tc>
          <w:tcPr>
            <w:tcW w:w="748" w:type="pct"/>
            <w:shd w:val="clear" w:color="auto" w:fill="auto"/>
          </w:tcPr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  <w:p w:rsidR="0095327A" w:rsidRDefault="001A7CC4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(kasmet)</w:t>
            </w: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Pr="00614C5C" w:rsidRDefault="0095327A" w:rsidP="001A7CC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Esant poreikiui</w:t>
            </w:r>
          </w:p>
        </w:tc>
      </w:tr>
      <w:tr w:rsidR="0095327A" w:rsidRPr="005E45C4" w:rsidTr="005E45C4">
        <w:trPr>
          <w:trHeight w:val="2235"/>
        </w:trPr>
        <w:tc>
          <w:tcPr>
            <w:tcW w:w="229" w:type="pct"/>
            <w:vMerge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09" w:type="pct"/>
            <w:shd w:val="clear" w:color="auto" w:fill="auto"/>
          </w:tcPr>
          <w:p w:rsidR="0095327A" w:rsidRPr="00BD2FB9" w:rsidRDefault="0095327A" w:rsidP="00AD189B">
            <w:pPr>
              <w:tabs>
                <w:tab w:val="left" w:pos="380"/>
              </w:tabs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E64811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Mažinti užkrečiamųjų lig</w:t>
            </w:r>
            <w:r w:rsidR="00AD189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ų ir epidemijos kilimo tikimybę</w:t>
            </w:r>
          </w:p>
        </w:tc>
        <w:tc>
          <w:tcPr>
            <w:tcW w:w="1402" w:type="pct"/>
            <w:shd w:val="clear" w:color="auto" w:fill="auto"/>
          </w:tcPr>
          <w:p w:rsidR="0095327A" w:rsidRPr="0095327A" w:rsidRDefault="0095327A" w:rsidP="0095327A">
            <w:pPr>
              <w:numPr>
                <w:ilvl w:val="0"/>
                <w:numId w:val="2"/>
              </w:numPr>
              <w:tabs>
                <w:tab w:val="left" w:pos="172"/>
                <w:tab w:val="left" w:pos="313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LT" w:eastAsia="Times New Roman" w:hAnsi="TimesLT"/>
                <w:sz w:val="24"/>
                <w:szCs w:val="24"/>
                <w:lang w:val="lt-LT" w:eastAsia="lt-LT"/>
              </w:rPr>
              <w:t xml:space="preserve">1. </w:t>
            </w:r>
            <w:r w:rsidRPr="0095327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Vykdyti prevencines priemones, mažinančias </w:t>
            </w:r>
            <w:proofErr w:type="spellStart"/>
            <w:r w:rsidRPr="0095327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Covid</w:t>
            </w:r>
            <w:proofErr w:type="spellEnd"/>
            <w:r w:rsidRPr="0095327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19 ir gripo epidemijos kilimo tikimybę, pamokų metu drėgnai valyti koridorių ir kitų viešųjų vietų grindis ir kt.)</w:t>
            </w:r>
          </w:p>
          <w:p w:rsidR="0095327A" w:rsidRPr="0095327A" w:rsidRDefault="0095327A" w:rsidP="0095327A">
            <w:pPr>
              <w:numPr>
                <w:ilvl w:val="0"/>
                <w:numId w:val="2"/>
              </w:numPr>
              <w:tabs>
                <w:tab w:val="left" w:pos="172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95327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2. Padaugėjus mieste susirgimų užkrečiamosiomis kvėpavimo takų ligomis, registruoti ir perduoti į Klaipėdos miesto visuomenės sveikatos biurą susirgimų skaičių klasėse, kasdien vertinti susirgimo mastą Progimnazijoje.</w:t>
            </w:r>
          </w:p>
          <w:p w:rsidR="0095327A" w:rsidRPr="0095327A" w:rsidRDefault="0095327A" w:rsidP="0095327A">
            <w:pPr>
              <w:numPr>
                <w:ilvl w:val="0"/>
                <w:numId w:val="2"/>
              </w:numPr>
              <w:tabs>
                <w:tab w:val="left" w:pos="313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95327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3. </w:t>
            </w:r>
            <w:r w:rsidRPr="0095327A">
              <w:rPr>
                <w:rFonts w:ascii="Times New Roman" w:hAnsi="Times New Roman"/>
                <w:sz w:val="24"/>
                <w:szCs w:val="24"/>
                <w:lang w:val="lt-LT"/>
              </w:rPr>
              <w:t>Organizuoti privalomąjį profilaktinį Progimnazijos darbuotojų sveikatos tikrinimą.</w:t>
            </w:r>
          </w:p>
          <w:p w:rsidR="0095327A" w:rsidRPr="0095327A" w:rsidRDefault="0095327A" w:rsidP="00AD189B">
            <w:pPr>
              <w:numPr>
                <w:ilvl w:val="0"/>
                <w:numId w:val="2"/>
              </w:numPr>
              <w:tabs>
                <w:tab w:val="left" w:pos="313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95327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4. Organizuoti </w:t>
            </w:r>
            <w:r w:rsidR="00BA31F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privalomus </w:t>
            </w:r>
            <w:r w:rsidRPr="0095327A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pirmos</w:t>
            </w:r>
            <w:r w:rsidR="00AD189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ios pagalbos ir higienos įgūdžių </w:t>
            </w:r>
            <w:r w:rsidRPr="0095327A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mokym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us</w:t>
            </w:r>
          </w:p>
        </w:tc>
        <w:tc>
          <w:tcPr>
            <w:tcW w:w="935" w:type="pct"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Progimnazijos direktoriaus pavaduotoja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s ūkio ir bendriesiems klausimams</w:t>
            </w:r>
          </w:p>
          <w:p w:rsidR="0095327A" w:rsidRPr="00614C5C" w:rsidRDefault="0095327A" w:rsidP="0095327A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-85"/>
              <w:contextualSpacing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-8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Visuomenės sveikatos specialistė</w:t>
            </w:r>
          </w:p>
          <w:p w:rsidR="0095327A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Progimnazijos direktoriaus pavaduotoja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s ūkio ir bendriesiems klausimams</w:t>
            </w:r>
          </w:p>
          <w:p w:rsidR="0095327A" w:rsidRPr="00614C5C" w:rsidRDefault="0095327A" w:rsidP="00AD189B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Progimnazijos direktoriaus pavaduotoja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s </w:t>
            </w:r>
            <w:r w:rsidR="00AD189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ūkio ir bendriesiems klausimams</w:t>
            </w:r>
          </w:p>
        </w:tc>
        <w:tc>
          <w:tcPr>
            <w:tcW w:w="748" w:type="pct"/>
            <w:shd w:val="clear" w:color="auto" w:fill="auto"/>
          </w:tcPr>
          <w:p w:rsidR="00912725" w:rsidRPr="00614C5C" w:rsidRDefault="0095327A" w:rsidP="00912725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  <w:p w:rsidR="0095327A" w:rsidRPr="00614C5C" w:rsidRDefault="00AD189B" w:rsidP="0095327A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(kasmet)</w:t>
            </w:r>
          </w:p>
          <w:p w:rsidR="0095327A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Pr="00614C5C" w:rsidRDefault="0095327A" w:rsidP="0095327A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  <w:p w:rsidR="0095327A" w:rsidRPr="00614C5C" w:rsidRDefault="00AD189B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(kasmet)</w:t>
            </w:r>
          </w:p>
          <w:p w:rsidR="0095327A" w:rsidRPr="00614C5C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4C2473" w:rsidRDefault="004C2473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  <w:p w:rsidR="00AD189B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(</w:t>
            </w:r>
            <w:r w:rsidR="00AD189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kasmet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iki rugsėjo </w:t>
            </w:r>
          </w:p>
          <w:p w:rsidR="0095327A" w:rsidRDefault="0095327A" w:rsidP="00766505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 d.)</w:t>
            </w:r>
          </w:p>
          <w:p w:rsidR="00AD189B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</w:t>
            </w:r>
            <w:r w:rsidR="004C2473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27</w:t>
            </w:r>
            <w:r w:rsidR="00AD189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</w:t>
            </w:r>
          </w:p>
          <w:p w:rsidR="0095327A" w:rsidRPr="00614C5C" w:rsidRDefault="00AD189B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(</w:t>
            </w:r>
            <w:r w:rsidR="0095327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vasario</w:t>
            </w:r>
            <w:r w:rsidR="0095327A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95327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kovo mėn.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)</w:t>
            </w:r>
          </w:p>
        </w:tc>
      </w:tr>
      <w:tr w:rsidR="0095327A" w:rsidRPr="005E45C4" w:rsidTr="000C3192">
        <w:trPr>
          <w:trHeight w:val="3322"/>
        </w:trPr>
        <w:tc>
          <w:tcPr>
            <w:tcW w:w="229" w:type="pct"/>
            <w:vMerge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09" w:type="pct"/>
            <w:shd w:val="clear" w:color="auto" w:fill="auto"/>
          </w:tcPr>
          <w:p w:rsidR="0095327A" w:rsidRPr="00E64811" w:rsidRDefault="0095327A" w:rsidP="0095327A">
            <w:pPr>
              <w:tabs>
                <w:tab w:val="left" w:pos="380"/>
              </w:tabs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LT" w:eastAsia="Times New Roman" w:hAnsi="TimesLT"/>
                <w:sz w:val="24"/>
                <w:szCs w:val="24"/>
                <w:lang w:val="lt-LT" w:eastAsia="lt-LT"/>
              </w:rPr>
              <w:t xml:space="preserve">Sustiprinti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</w:t>
            </w: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rogimnazijos</w:t>
            </w:r>
            <w:r w:rsidRPr="00614C5C">
              <w:rPr>
                <w:rFonts w:ascii="TimesLT" w:eastAsia="Times New Roman" w:hAnsi="TimesLT"/>
                <w:sz w:val="24"/>
                <w:szCs w:val="24"/>
                <w:lang w:val="lt-LT" w:eastAsia="lt-LT"/>
              </w:rPr>
              <w:t xml:space="preserve"> apsaugą ugdymo proceso metu, siekiant sumažinti pasikėsinim</w:t>
            </w:r>
            <w:r>
              <w:rPr>
                <w:rFonts w:ascii="TimesLT" w:eastAsia="Times New Roman" w:hAnsi="TimesLT"/>
                <w:sz w:val="24"/>
                <w:szCs w:val="24"/>
                <w:lang w:val="lt-LT" w:eastAsia="lt-LT"/>
              </w:rPr>
              <w:t>o įvykdyti teroro aktą galimybę</w:t>
            </w:r>
          </w:p>
        </w:tc>
        <w:tc>
          <w:tcPr>
            <w:tcW w:w="1402" w:type="pct"/>
            <w:shd w:val="clear" w:color="auto" w:fill="auto"/>
          </w:tcPr>
          <w:p w:rsidR="00AD189B" w:rsidRDefault="00AD189B" w:rsidP="00AD189B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1. </w:t>
            </w:r>
            <w:r w:rsidR="0095327A" w:rsidRPr="0095327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Stiprinti Progimnazijos budėtojų budrumą, siekiant sustabdyti pašalinių asmenų patekimą į mokyklą. Laikytis Bendruomenės narių ir pašalinių asmenų lankymosi Progimnazijoje tvarkos aprašo, patvirtinto</w:t>
            </w:r>
            <w:r w:rsidR="0095327A" w:rsidRPr="0095327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direktoriaus 2023 m. spalio 16 d. įsakymu Nr. V1-114,</w:t>
            </w:r>
            <w:r w:rsidR="0095327A" w:rsidRPr="0095327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nuostatų.</w:t>
            </w:r>
          </w:p>
          <w:p w:rsidR="0095327A" w:rsidRPr="00AD189B" w:rsidRDefault="00AD189B" w:rsidP="00AD189B">
            <w:pPr>
              <w:numPr>
                <w:ilvl w:val="0"/>
                <w:numId w:val="2"/>
              </w:numPr>
              <w:tabs>
                <w:tab w:val="left" w:pos="313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  <w:t xml:space="preserve">2. </w:t>
            </w:r>
            <w:r w:rsidR="0095327A" w:rsidRPr="00AD189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Aktyvinti mokinių priežiūrą Progimnazijoje pertraukų metu, kartą per metus atnaujinti mokinių priežiūros pertraukų metu grafiką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5327A" w:rsidRPr="0095327A" w:rsidRDefault="0095327A" w:rsidP="0095327A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95327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Progimnazijos direktoriaus pavaduotojai ugdymui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95327A" w:rsidRPr="0095327A" w:rsidRDefault="00912725" w:rsidP="000C3192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2025</w:t>
            </w:r>
            <w:r w:rsidR="0095327A" w:rsidRPr="0095327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lt-LT" w:eastAsia="lt-LT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  <w:p w:rsidR="0095327A" w:rsidRPr="0095327A" w:rsidRDefault="0095327A" w:rsidP="000C319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95327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(ugdymo proceso</w:t>
            </w:r>
          </w:p>
          <w:p w:rsidR="0095327A" w:rsidRPr="0095327A" w:rsidRDefault="00AD189B" w:rsidP="000C319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</w:t>
            </w:r>
            <w:r w:rsidR="0095327A" w:rsidRPr="0095327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etu)</w:t>
            </w:r>
          </w:p>
        </w:tc>
      </w:tr>
      <w:tr w:rsidR="00403568" w:rsidRPr="00F83BC0" w:rsidTr="00BA31F3">
        <w:trPr>
          <w:trHeight w:val="1675"/>
        </w:trPr>
        <w:tc>
          <w:tcPr>
            <w:tcW w:w="229" w:type="pct"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lastRenderedPageBreak/>
              <w:t>2.</w:t>
            </w:r>
          </w:p>
        </w:tc>
        <w:tc>
          <w:tcPr>
            <w:tcW w:w="777" w:type="pct"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Avarinių situacijų, įvykių ar ekstremaliųjų įvykių poveikio žmonėms, turtui ir aplinkai mažinimas</w:t>
            </w:r>
          </w:p>
        </w:tc>
        <w:tc>
          <w:tcPr>
            <w:tcW w:w="909" w:type="pct"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left="34"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Užtikrinti žmonių saugumą įvykus gaisrui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ar kitai ES</w:t>
            </w: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402" w:type="pct"/>
            <w:shd w:val="clear" w:color="auto" w:fill="auto"/>
          </w:tcPr>
          <w:p w:rsidR="0095327A" w:rsidRPr="00262CC0" w:rsidRDefault="0095327A" w:rsidP="0095327A">
            <w:pPr>
              <w:spacing w:after="0" w:line="240" w:lineRule="auto"/>
              <w:ind w:left="34"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1. </w:t>
            </w:r>
            <w:r w:rsidRPr="00614C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Patikrinti turimus gesintuvus ir, reikalui esant, skirti lėšų naujiems gesintuvams įsigyti. </w:t>
            </w:r>
          </w:p>
          <w:p w:rsidR="0095327A" w:rsidRDefault="0095327A" w:rsidP="0095327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2. </w:t>
            </w: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Nupjauti sudžiūvusius medžius, šakas.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Kilus uraganui ar sustiprėjus vėjui, s</w:t>
            </w: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ndariai uždaryti langus, duris</w:t>
            </w:r>
          </w:p>
          <w:p w:rsidR="0095327A" w:rsidRPr="00262CC0" w:rsidRDefault="0095327A" w:rsidP="0095327A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val="lt-LT"/>
              </w:rPr>
              <w:t>3. Naujai atvykusius ū</w:t>
            </w:r>
            <w:r w:rsidRPr="00614C5C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val="lt-LT"/>
              </w:rPr>
              <w:t>kio dalies darbuotojus</w:t>
            </w: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val="lt-LT"/>
              </w:rPr>
              <w:t xml:space="preserve"> aprūpinti spec. rūbais, visus Progimnazijos darbuotojus 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 xml:space="preserve">– </w:t>
            </w: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val="lt-LT"/>
              </w:rPr>
              <w:t>kaukėmis (pagal poreikį)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5327A" w:rsidRPr="00614C5C" w:rsidRDefault="0095327A" w:rsidP="00BA31F3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Progimnazijos direktoriaus pavaduotoja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s ūkio ir bendriesiems klausimams</w:t>
            </w:r>
          </w:p>
        </w:tc>
        <w:tc>
          <w:tcPr>
            <w:tcW w:w="748" w:type="pct"/>
            <w:shd w:val="clear" w:color="auto" w:fill="auto"/>
          </w:tcPr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  <w:p w:rsidR="0095327A" w:rsidRPr="00614C5C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(kasmet)</w:t>
            </w: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</w:t>
            </w:r>
          </w:p>
          <w:p w:rsidR="0095327A" w:rsidRPr="00614C5C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  <w:p w:rsidR="0095327A" w:rsidRDefault="0095327A" w:rsidP="0095327A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(esant poreikiui)</w:t>
            </w: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Pr="00614C5C" w:rsidRDefault="0095327A" w:rsidP="00AD189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</w:t>
            </w: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0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</w:tc>
      </w:tr>
      <w:tr w:rsidR="00403568" w:rsidRPr="00F83BC0" w:rsidTr="00BD2FB9">
        <w:trPr>
          <w:trHeight w:val="1035"/>
        </w:trPr>
        <w:tc>
          <w:tcPr>
            <w:tcW w:w="229" w:type="pct"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777" w:type="pct"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Darbuotojų informavimas apie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vidinius ir išorinius pavojus</w:t>
            </w:r>
          </w:p>
        </w:tc>
        <w:tc>
          <w:tcPr>
            <w:tcW w:w="909" w:type="pct"/>
            <w:shd w:val="clear" w:color="auto" w:fill="auto"/>
          </w:tcPr>
          <w:p w:rsidR="0095327A" w:rsidRPr="00614C5C" w:rsidRDefault="0095327A" w:rsidP="0095327A">
            <w:pPr>
              <w:tabs>
                <w:tab w:val="left" w:pos="0"/>
                <w:tab w:val="left" w:pos="318"/>
              </w:tabs>
              <w:spacing w:after="0" w:line="240" w:lineRule="auto"/>
              <w:ind w:left="70" w:right="-85"/>
              <w:contextualSpacing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Supažindinti darbuotojus su veiksmais, kurių reikia imtis kilus ekstremaliajai situacijai </w:t>
            </w:r>
          </w:p>
          <w:p w:rsidR="0095327A" w:rsidRPr="00614C5C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Pr="00614C5C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Informuoti Progimnazijos bendruomenę apie grėsmingas situac</w:t>
            </w:r>
            <w:r w:rsidR="00AD189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ijas mieste</w:t>
            </w:r>
          </w:p>
        </w:tc>
        <w:tc>
          <w:tcPr>
            <w:tcW w:w="1402" w:type="pct"/>
            <w:shd w:val="clear" w:color="auto" w:fill="auto"/>
          </w:tcPr>
          <w:p w:rsidR="0095327A" w:rsidRDefault="0095327A" w:rsidP="0095327A">
            <w:pPr>
              <w:tabs>
                <w:tab w:val="left" w:pos="313"/>
              </w:tabs>
              <w:spacing w:after="0" w:line="240" w:lineRule="auto"/>
              <w:ind w:left="34"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F83BC0">
              <w:rPr>
                <w:rFonts w:ascii="Times New Roman" w:hAnsi="Times New Roman"/>
                <w:sz w:val="24"/>
                <w:szCs w:val="24"/>
                <w:lang w:val="lt-LT"/>
              </w:rPr>
              <w:t>1. Supažindinti Pr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ogimnazijos darbuotojus su patikslintais ar atnaujintais</w:t>
            </w:r>
            <w:r w:rsidRPr="00F83BC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Progimnazijos ekstremaliųjų situa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cijų prevencijos priemonių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, </w:t>
            </w:r>
            <w:r w:rsidRPr="00F83BC0">
              <w:rPr>
                <w:rFonts w:ascii="Times New Roman" w:hAnsi="Times New Roman"/>
                <w:sz w:val="24"/>
                <w:szCs w:val="24"/>
                <w:lang w:val="lt-LT"/>
              </w:rPr>
              <w:t>ekstr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emaliųjų situacijų valdymo planais</w:t>
            </w:r>
            <w:r w:rsidRPr="00F83BC0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su, poreikiui esant, atnaujinta P</w:t>
            </w:r>
            <w:r w:rsidRPr="00515573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rogimnazijos galimų pav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ojų ir ekstremaliųjų situacijų </w:t>
            </w:r>
            <w:r w:rsidRPr="00515573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rizikos analize.</w:t>
            </w:r>
          </w:p>
          <w:p w:rsidR="0095327A" w:rsidRDefault="0095327A" w:rsidP="0095327A">
            <w:pPr>
              <w:tabs>
                <w:tab w:val="left" w:pos="324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2. </w:t>
            </w:r>
            <w:r w:rsidRPr="00B7177E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Informuoti darbuotojus apie kitose gimining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ose įstaigose kilusias avarijas, nelaimingus įvykius, transportuojant pavojingus krovinius ir kt. pavojingas situacijas.</w:t>
            </w:r>
          </w:p>
          <w:p w:rsidR="0095327A" w:rsidRDefault="0095327A" w:rsidP="0095327A">
            <w:pPr>
              <w:tabs>
                <w:tab w:val="left" w:pos="324"/>
              </w:tabs>
              <w:spacing w:after="0" w:line="240" w:lineRule="auto"/>
              <w:ind w:left="34"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3. </w:t>
            </w: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Parengti informacinius stendus apie gresiančius ligų protrūkius.</w:t>
            </w:r>
          </w:p>
          <w:p w:rsidR="0095327A" w:rsidRDefault="0095327A" w:rsidP="0095327A">
            <w:pPr>
              <w:tabs>
                <w:tab w:val="left" w:pos="313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4. Mokinių tėvams (globėjams, rūpintojams), darbuotojams teikti informaciją apie asmens higienos laikymosi būtinybę, draudimą į Progimnaziją atvykti asmenims, kuriems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lastRenderedPageBreak/>
              <w:t>pasireiškia ūmių viršutinių kvėpavimo takų infekcijų požymių.</w:t>
            </w:r>
          </w:p>
          <w:p w:rsidR="0095327A" w:rsidRPr="00614C5C" w:rsidRDefault="0095327A" w:rsidP="0095327A">
            <w:pPr>
              <w:tabs>
                <w:tab w:val="left" w:pos="324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5. Kontroliuoti tiekiamo maisto kokybę</w:t>
            </w:r>
          </w:p>
        </w:tc>
        <w:tc>
          <w:tcPr>
            <w:tcW w:w="935" w:type="pct"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lastRenderedPageBreak/>
              <w:t>Progimnazijos direktoriaus pavaduotojas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ugdymui</w:t>
            </w: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, atsakingas už CS</w:t>
            </w: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Progimnazijos direktoriaus pavaduotojas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ugdymui</w:t>
            </w: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, atsakingas už CS</w:t>
            </w:r>
          </w:p>
          <w:p w:rsidR="0095327A" w:rsidRDefault="0095327A" w:rsidP="0095327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Pr="00614C5C" w:rsidRDefault="0095327A" w:rsidP="0095327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Visuomenės sveikatos specialistė</w:t>
            </w:r>
          </w:p>
          <w:p w:rsidR="0095327A" w:rsidRDefault="0095327A" w:rsidP="0095327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Visuomenės sveikatos specialistė</w:t>
            </w:r>
          </w:p>
          <w:p w:rsidR="0095327A" w:rsidRDefault="0095327A" w:rsidP="008E1782">
            <w:pPr>
              <w:spacing w:after="0" w:line="240" w:lineRule="auto"/>
              <w:ind w:right="33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8E1782" w:rsidRDefault="008E1782" w:rsidP="008E1782">
            <w:pPr>
              <w:spacing w:after="0" w:line="240" w:lineRule="auto"/>
              <w:ind w:right="33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AD189B" w:rsidRDefault="00AD189B" w:rsidP="0095327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8E1782" w:rsidRDefault="008E1782" w:rsidP="0095327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8E1782" w:rsidRDefault="008E1782" w:rsidP="0095327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8E1782" w:rsidRDefault="008E1782" w:rsidP="0095327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Pr="00614C5C" w:rsidRDefault="0095327A" w:rsidP="0095327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Visuomenės sveikatos specialistė</w:t>
            </w:r>
          </w:p>
        </w:tc>
        <w:tc>
          <w:tcPr>
            <w:tcW w:w="748" w:type="pct"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lastRenderedPageBreak/>
              <w:t>20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Pr="00614C5C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Pr="00614C5C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Esant poreikiui</w:t>
            </w: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Pr="00614C5C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  <w:p w:rsidR="0095327A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8E1782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Pr="00614C5C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AD189B" w:rsidRDefault="00AD189B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8E1782" w:rsidRDefault="008E1782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8E1782" w:rsidRDefault="008E1782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(ugdymo proceso metu)</w:t>
            </w:r>
          </w:p>
        </w:tc>
      </w:tr>
      <w:tr w:rsidR="00403568" w:rsidRPr="00F83BC0" w:rsidTr="00D53FD1">
        <w:trPr>
          <w:trHeight w:val="4275"/>
        </w:trPr>
        <w:tc>
          <w:tcPr>
            <w:tcW w:w="229" w:type="pct"/>
            <w:shd w:val="clear" w:color="auto" w:fill="auto"/>
          </w:tcPr>
          <w:p w:rsidR="0095327A" w:rsidRDefault="0095327A" w:rsidP="009532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lastRenderedPageBreak/>
              <w:t>4.</w:t>
            </w:r>
          </w:p>
        </w:tc>
        <w:tc>
          <w:tcPr>
            <w:tcW w:w="777" w:type="pct"/>
            <w:shd w:val="clear" w:color="auto" w:fill="auto"/>
          </w:tcPr>
          <w:p w:rsidR="0095327A" w:rsidRPr="00D53FD1" w:rsidRDefault="0095327A" w:rsidP="00D53FD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Civilinės saugos pratybų ir darbuotojų mokymo organizavimas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,</w:t>
            </w: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Pr="00F83BC0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švietimas ekstremaliųjų situacijų klausimais</w:t>
            </w:r>
          </w:p>
        </w:tc>
        <w:tc>
          <w:tcPr>
            <w:tcW w:w="909" w:type="pct"/>
            <w:shd w:val="clear" w:color="auto" w:fill="auto"/>
          </w:tcPr>
          <w:p w:rsidR="0095327A" w:rsidRDefault="0095327A" w:rsidP="0095327A">
            <w:pPr>
              <w:spacing w:after="0" w:line="240" w:lineRule="auto"/>
              <w:ind w:left="34" w:right="-85" w:hanging="34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Mokyti P</w:t>
            </w: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rogimnazijos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atsakingus asmenis, </w:t>
            </w: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darbuotojus ir mokinius, kaip elgtis gresiant ar susid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arius ekstremaliajai situacijai</w:t>
            </w:r>
          </w:p>
          <w:p w:rsidR="0095327A" w:rsidRDefault="0095327A" w:rsidP="0095327A">
            <w:pPr>
              <w:spacing w:after="0" w:line="240" w:lineRule="auto"/>
              <w:ind w:left="34" w:right="-85" w:hanging="34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34" w:right="-85" w:hanging="34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34" w:right="-85" w:hanging="34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34" w:right="-85" w:hanging="34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34" w:right="-85" w:hanging="34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Pr="00614C5C" w:rsidRDefault="0095327A" w:rsidP="0095327A">
            <w:pPr>
              <w:spacing w:after="0" w:line="240" w:lineRule="auto"/>
              <w:ind w:left="34" w:right="-85" w:hanging="34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02" w:type="pct"/>
            <w:shd w:val="clear" w:color="auto" w:fill="auto"/>
          </w:tcPr>
          <w:p w:rsidR="0095327A" w:rsidRDefault="0095327A" w:rsidP="00BA31F3">
            <w:pPr>
              <w:numPr>
                <w:ilvl w:val="0"/>
                <w:numId w:val="1"/>
              </w:numPr>
              <w:tabs>
                <w:tab w:val="left" w:pos="40"/>
                <w:tab w:val="left" w:pos="313"/>
              </w:tabs>
              <w:spacing w:after="0" w:line="240" w:lineRule="auto"/>
              <w:ind w:left="176" w:hanging="136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Par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engti ir vykdyti 2 val. Progimnazijos</w:t>
            </w: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darbuotojų CS mokymus.</w:t>
            </w:r>
          </w:p>
          <w:p w:rsidR="0095327A" w:rsidRPr="00D53FD1" w:rsidRDefault="00BA31F3" w:rsidP="00D53FD1">
            <w:pPr>
              <w:numPr>
                <w:ilvl w:val="0"/>
                <w:numId w:val="1"/>
              </w:numPr>
              <w:tabs>
                <w:tab w:val="left" w:pos="40"/>
                <w:tab w:val="left" w:pos="182"/>
                <w:tab w:val="left" w:pos="324"/>
              </w:tabs>
              <w:spacing w:after="0" w:line="240" w:lineRule="auto"/>
              <w:ind w:left="176" w:hanging="136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val="lt-LT"/>
              </w:rPr>
              <w:t>Organizuoti</w:t>
            </w:r>
            <w:r w:rsidR="0095327A" w:rsidRPr="003D1C29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val="lt-LT"/>
              </w:rPr>
              <w:t xml:space="preserve"> praktinius </w:t>
            </w:r>
            <w:proofErr w:type="spellStart"/>
            <w:r w:rsidR="0095327A" w:rsidRPr="003D1C29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val="lt-LT"/>
              </w:rPr>
              <w:t>užsiėmimus</w:t>
            </w:r>
            <w:proofErr w:type="spellEnd"/>
            <w:r w:rsidR="0095327A" w:rsidRPr="003D1C29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val="lt-LT"/>
              </w:rPr>
              <w:t xml:space="preserve"> </w:t>
            </w:r>
            <w:r w:rsidR="0095327A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val="lt-LT"/>
              </w:rPr>
              <w:t xml:space="preserve">mokiniams ir mokytojams </w:t>
            </w:r>
            <w:r w:rsidR="0095327A" w:rsidRPr="003D1C29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val="lt-LT"/>
              </w:rPr>
              <w:t>„Kaip pačiam a</w:t>
            </w:r>
            <w:r w:rsidR="0095327A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val="lt-LT"/>
              </w:rPr>
              <w:t>psisaugoti nuo pavojingų dūmų“.</w:t>
            </w:r>
          </w:p>
          <w:p w:rsidR="0095327A" w:rsidRDefault="0095327A" w:rsidP="00D53FD1">
            <w:pPr>
              <w:numPr>
                <w:ilvl w:val="0"/>
                <w:numId w:val="1"/>
              </w:numPr>
              <w:tabs>
                <w:tab w:val="left" w:pos="40"/>
                <w:tab w:val="left" w:pos="182"/>
                <w:tab w:val="left" w:pos="324"/>
              </w:tabs>
              <w:spacing w:after="0" w:line="240" w:lineRule="auto"/>
              <w:ind w:left="176" w:hanging="136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Organizuoti funkcines/</w:t>
            </w:r>
            <w:r w:rsidRPr="00AB20FE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stalo pratybas.</w:t>
            </w:r>
          </w:p>
          <w:p w:rsidR="00D53FD1" w:rsidRDefault="00D53FD1" w:rsidP="00D53FD1">
            <w:pPr>
              <w:tabs>
                <w:tab w:val="left" w:pos="40"/>
                <w:tab w:val="left" w:pos="182"/>
                <w:tab w:val="left" w:pos="324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:rsidR="00B231A4" w:rsidRPr="00D53FD1" w:rsidRDefault="00B231A4" w:rsidP="00D53FD1">
            <w:pPr>
              <w:tabs>
                <w:tab w:val="left" w:pos="40"/>
                <w:tab w:val="left" w:pos="182"/>
                <w:tab w:val="left" w:pos="324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:rsidR="0095327A" w:rsidRPr="00D53FD1" w:rsidRDefault="0095327A" w:rsidP="00D53FD1">
            <w:pPr>
              <w:pStyle w:val="ListParagraph"/>
              <w:numPr>
                <w:ilvl w:val="0"/>
                <w:numId w:val="1"/>
              </w:numPr>
              <w:tabs>
                <w:tab w:val="left" w:pos="40"/>
                <w:tab w:val="left" w:pos="182"/>
                <w:tab w:val="left" w:pos="324"/>
              </w:tabs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F3E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Organizuoti progimnazijos vadovų kurie nėra išklausę civilinės saugos mokymo programos kurso arba kurie šį kursą yra išklausę daugiau nei prieš 3 metus, </w:t>
            </w:r>
            <w:r w:rsidRPr="007F3E1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apskrities PGV </w:t>
            </w:r>
            <w:r w:rsidRPr="007F3E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organizuojamuose civilinės saugos mokymuose </w:t>
            </w:r>
          </w:p>
          <w:p w:rsidR="0095327A" w:rsidRPr="000E2C15" w:rsidRDefault="0095327A" w:rsidP="0095327A">
            <w:pPr>
              <w:pStyle w:val="ListParagraph"/>
              <w:numPr>
                <w:ilvl w:val="0"/>
                <w:numId w:val="1"/>
              </w:numPr>
              <w:tabs>
                <w:tab w:val="left" w:pos="40"/>
                <w:tab w:val="left" w:pos="182"/>
                <w:tab w:val="left" w:pos="324"/>
              </w:tabs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F83BC0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Teikti Progimnazijos bendruomenei informaciją CS prevencijos klausimais</w:t>
            </w:r>
            <w:r w:rsidR="00D53FD1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(Mano dienyne, Progimnazijos el. svetainėje)</w:t>
            </w:r>
          </w:p>
        </w:tc>
        <w:tc>
          <w:tcPr>
            <w:tcW w:w="935" w:type="pct"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left="34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Progimnazijos direktoriaus pavaduotojas ugdymui, atsakingas už CS</w:t>
            </w:r>
          </w:p>
          <w:p w:rsidR="0095327A" w:rsidRPr="00614C5C" w:rsidRDefault="00D53FD1" w:rsidP="00D53FD1">
            <w:pPr>
              <w:spacing w:after="0" w:line="240" w:lineRule="auto"/>
              <w:ind w:left="34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Gyvenimo įgūdžių mokytoja</w:t>
            </w:r>
          </w:p>
          <w:p w:rsidR="0095327A" w:rsidRDefault="0095327A" w:rsidP="00D53FD1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E30E6B" w:rsidRDefault="00E30E6B" w:rsidP="00D53FD1">
            <w:pPr>
              <w:spacing w:after="0" w:line="240" w:lineRule="auto"/>
              <w:ind w:left="34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D53FD1">
            <w:pPr>
              <w:spacing w:after="0" w:line="240" w:lineRule="auto"/>
              <w:ind w:left="34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Progimnazijos direktoriaus pavaduotojas ugdymui, atsakingas už CS</w:t>
            </w:r>
          </w:p>
          <w:p w:rsidR="00B231A4" w:rsidRDefault="00B231A4" w:rsidP="00D53FD1">
            <w:pPr>
              <w:spacing w:after="0" w:line="240" w:lineRule="auto"/>
              <w:ind w:left="34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Progimnazijos direktoriaus pavaduotojas ugdymui, atsakingas už CS</w:t>
            </w:r>
          </w:p>
          <w:p w:rsidR="00B231A4" w:rsidRDefault="00B231A4" w:rsidP="00D53FD1">
            <w:pPr>
              <w:spacing w:after="0" w:line="240" w:lineRule="auto"/>
              <w:ind w:left="34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B231A4" w:rsidRDefault="00B231A4" w:rsidP="00D53FD1">
            <w:pPr>
              <w:spacing w:after="0" w:line="240" w:lineRule="auto"/>
              <w:ind w:left="34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B231A4" w:rsidRDefault="00B231A4" w:rsidP="00D53FD1">
            <w:pPr>
              <w:spacing w:after="0" w:line="240" w:lineRule="auto"/>
              <w:ind w:left="34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B231A4" w:rsidRPr="00614C5C" w:rsidRDefault="00B231A4" w:rsidP="00D53FD1">
            <w:pPr>
              <w:spacing w:after="0" w:line="240" w:lineRule="auto"/>
              <w:ind w:left="34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Progimnazijos direktoriaus pavaduotojas ugdymui, atsakingas už CS</w:t>
            </w:r>
          </w:p>
        </w:tc>
        <w:tc>
          <w:tcPr>
            <w:tcW w:w="748" w:type="pct"/>
            <w:shd w:val="clear" w:color="auto" w:fill="auto"/>
          </w:tcPr>
          <w:p w:rsidR="0095327A" w:rsidRPr="00614C5C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</w:t>
            </w:r>
            <w:r w:rsidR="004C2473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4C2473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  <w:p w:rsidR="0095327A" w:rsidRPr="00614C5C" w:rsidRDefault="00AD189B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(</w:t>
            </w:r>
            <w:r w:rsidR="0095327A"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</w:t>
            </w:r>
            <w:r w:rsidR="0095327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V</w:t>
            </w:r>
            <w:r w:rsidR="0095327A"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ketvi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rtį)</w:t>
            </w:r>
          </w:p>
          <w:p w:rsidR="0095327A" w:rsidRPr="00614C5C" w:rsidRDefault="0095327A" w:rsidP="0095327A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12725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2025</w:t>
            </w:r>
            <w:r w:rsidR="0095327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</w:t>
            </w:r>
          </w:p>
          <w:p w:rsidR="0095327A" w:rsidRDefault="00D53FD1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(pamokų metu)</w:t>
            </w:r>
          </w:p>
          <w:p w:rsidR="0095327A" w:rsidRDefault="0095327A" w:rsidP="00D53FD1">
            <w:pPr>
              <w:spacing w:after="0" w:line="240" w:lineRule="auto"/>
              <w:ind w:right="-85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E30E6B" w:rsidRDefault="00E30E6B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95327A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  <w:p w:rsidR="00D53FD1" w:rsidRDefault="00D53FD1" w:rsidP="0095327A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(kasmet)</w:t>
            </w:r>
          </w:p>
          <w:p w:rsidR="00E30E6B" w:rsidRDefault="00E30E6B" w:rsidP="00D53FD1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  <w:p w:rsidR="0095327A" w:rsidRDefault="00D53FD1" w:rsidP="00D53FD1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</w:p>
          <w:p w:rsidR="00D53FD1" w:rsidRDefault="00E373B3" w:rsidP="00D53FD1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(3</w:t>
            </w:r>
            <w:r w:rsidR="00D53FD1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 xml:space="preserve"> vadovai)</w:t>
            </w:r>
          </w:p>
          <w:p w:rsidR="00D53FD1" w:rsidRDefault="00912725" w:rsidP="00D53FD1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2026</w:t>
            </w:r>
          </w:p>
          <w:p w:rsidR="00D53FD1" w:rsidRDefault="004416C5" w:rsidP="00E373B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(3</w:t>
            </w:r>
            <w:r w:rsidR="00E373B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 xml:space="preserve"> vadovai)</w:t>
            </w:r>
          </w:p>
          <w:p w:rsidR="00E373B3" w:rsidRDefault="00912725" w:rsidP="00E373B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2027</w:t>
            </w:r>
          </w:p>
          <w:p w:rsidR="00B231A4" w:rsidRDefault="004416C5" w:rsidP="00E373B3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(pagal poreikį</w:t>
            </w:r>
            <w:r w:rsidR="00B231A4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)</w:t>
            </w:r>
          </w:p>
          <w:p w:rsidR="00E373B3" w:rsidRPr="00614C5C" w:rsidRDefault="00E373B3" w:rsidP="00E30E6B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614C5C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25</w:t>
            </w:r>
            <w:r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  <w:t>–</w:t>
            </w:r>
            <w:r w:rsidR="00912725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2027</w:t>
            </w:r>
          </w:p>
          <w:p w:rsidR="00E373B3" w:rsidRPr="00E373B3" w:rsidRDefault="00E373B3" w:rsidP="00E373B3">
            <w:pPr>
              <w:spacing w:after="0" w:line="240" w:lineRule="auto"/>
              <w:ind w:right="-85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val="lt-LT" w:eastAsia="lt-LT"/>
              </w:rPr>
            </w:pPr>
          </w:p>
        </w:tc>
      </w:tr>
    </w:tbl>
    <w:p w:rsidR="000502DC" w:rsidRPr="00614C5C" w:rsidRDefault="000502DC" w:rsidP="000502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614C5C">
        <w:rPr>
          <w:rFonts w:ascii="Times New Roman" w:eastAsia="Times New Roman" w:hAnsi="Times New Roman"/>
          <w:sz w:val="24"/>
          <w:szCs w:val="24"/>
          <w:lang w:val="lt-LT" w:eastAsia="lt-LT"/>
        </w:rPr>
        <w:t>Santrumpos:</w:t>
      </w:r>
    </w:p>
    <w:p w:rsidR="000502DC" w:rsidRPr="00614C5C" w:rsidRDefault="000502DC" w:rsidP="000502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614C5C">
        <w:rPr>
          <w:rFonts w:ascii="Times New Roman" w:eastAsia="Times New Roman" w:hAnsi="Times New Roman"/>
          <w:sz w:val="24"/>
          <w:szCs w:val="24"/>
          <w:lang w:val="lt-LT" w:eastAsia="lt-LT"/>
        </w:rPr>
        <w:t>CS – civilinė sauga</w:t>
      </w:r>
    </w:p>
    <w:p w:rsidR="000502DC" w:rsidRDefault="00BF6454" w:rsidP="00BF64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PGV </w:t>
      </w:r>
      <w:r w:rsidRPr="00614C5C">
        <w:rPr>
          <w:rFonts w:ascii="Times New Roman" w:eastAsia="Times New Roman" w:hAnsi="Times New Roman"/>
          <w:sz w:val="24"/>
          <w:szCs w:val="24"/>
          <w:lang w:val="lt-LT" w:eastAsia="lt-LT"/>
        </w:rPr>
        <w:t>–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E23B28">
        <w:rPr>
          <w:rFonts w:ascii="Times New Roman" w:eastAsia="Times New Roman" w:hAnsi="Times New Roman"/>
          <w:sz w:val="24"/>
          <w:szCs w:val="24"/>
          <w:lang w:val="lt-LT" w:eastAsia="lt-LT"/>
        </w:rPr>
        <w:t>priešgaisrinė gelbėjimo valdyba</w:t>
      </w:r>
    </w:p>
    <w:p w:rsidR="000502DC" w:rsidRPr="00334E9F" w:rsidRDefault="000502DC" w:rsidP="00050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Progimnazijos </w:t>
      </w:r>
      <w:r w:rsidRPr="00614C5C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direktoriaus pavaduotoja ugdymui, atsakin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>g</w:t>
      </w:r>
      <w:r w:rsidR="00E979E7">
        <w:rPr>
          <w:rFonts w:ascii="Times New Roman" w:eastAsia="Times New Roman" w:hAnsi="Times New Roman"/>
          <w:sz w:val="24"/>
          <w:szCs w:val="24"/>
          <w:lang w:val="lt-LT" w:eastAsia="lt-LT"/>
        </w:rPr>
        <w:t>a už CS</w:t>
      </w:r>
      <w:r w:rsidR="00E979E7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E979E7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E979E7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E979E7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="00E979E7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Lijana </w:t>
      </w:r>
      <w:proofErr w:type="spellStart"/>
      <w:r w:rsidR="00E979E7">
        <w:rPr>
          <w:rFonts w:ascii="Times New Roman" w:eastAsia="Times New Roman" w:hAnsi="Times New Roman"/>
          <w:sz w:val="24"/>
          <w:szCs w:val="24"/>
          <w:lang w:val="lt-LT" w:eastAsia="lt-LT"/>
        </w:rPr>
        <w:t>Diliautienė</w:t>
      </w:r>
      <w:proofErr w:type="spellEnd"/>
    </w:p>
    <w:p w:rsidR="000502DC" w:rsidRPr="00F14784" w:rsidRDefault="000502DC" w:rsidP="000502DC">
      <w:pPr>
        <w:rPr>
          <w:lang w:val="lt-LT"/>
        </w:rPr>
      </w:pPr>
    </w:p>
    <w:p w:rsidR="00E34E54" w:rsidRPr="000502DC" w:rsidRDefault="00E34E54">
      <w:pPr>
        <w:rPr>
          <w:lang w:val="lt-LT"/>
        </w:rPr>
      </w:pPr>
    </w:p>
    <w:sectPr w:rsidR="00E34E54" w:rsidRPr="000502DC" w:rsidSect="00403568">
      <w:headerReference w:type="even" r:id="rId7"/>
      <w:headerReference w:type="default" r:id="rId8"/>
      <w:footerReference w:type="even" r:id="rId9"/>
      <w:footerReference w:type="default" r:id="rId10"/>
      <w:pgSz w:w="16840" w:h="11907" w:orient="landscape" w:code="9"/>
      <w:pgMar w:top="1701" w:right="1247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EC7" w:rsidRDefault="00473EC7">
      <w:pPr>
        <w:spacing w:after="0" w:line="240" w:lineRule="auto"/>
      </w:pPr>
      <w:r>
        <w:separator/>
      </w:r>
    </w:p>
  </w:endnote>
  <w:endnote w:type="continuationSeparator" w:id="0">
    <w:p w:rsidR="00473EC7" w:rsidRDefault="0047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5FB" w:rsidRDefault="00403568" w:rsidP="006A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55FB" w:rsidRDefault="00473EC7" w:rsidP="006A55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5FB" w:rsidRDefault="00473EC7" w:rsidP="006A55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EC7" w:rsidRDefault="00473EC7">
      <w:pPr>
        <w:spacing w:after="0" w:line="240" w:lineRule="auto"/>
      </w:pPr>
      <w:r>
        <w:separator/>
      </w:r>
    </w:p>
  </w:footnote>
  <w:footnote w:type="continuationSeparator" w:id="0">
    <w:p w:rsidR="00473EC7" w:rsidRDefault="00473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5FB" w:rsidRDefault="00403568" w:rsidP="006A55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6A55FB" w:rsidRDefault="00473EC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5FB" w:rsidRPr="0073101B" w:rsidRDefault="00403568" w:rsidP="006A55FB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73101B">
      <w:rPr>
        <w:rStyle w:val="PageNumber"/>
        <w:rFonts w:ascii="Times New Roman" w:hAnsi="Times New Roman"/>
      </w:rPr>
      <w:fldChar w:fldCharType="begin"/>
    </w:r>
    <w:r w:rsidRPr="0073101B">
      <w:rPr>
        <w:rStyle w:val="PageNumber"/>
        <w:rFonts w:ascii="Times New Roman" w:hAnsi="Times New Roman"/>
      </w:rPr>
      <w:instrText xml:space="preserve">PAGE  </w:instrText>
    </w:r>
    <w:r w:rsidRPr="0073101B">
      <w:rPr>
        <w:rStyle w:val="PageNumber"/>
        <w:rFonts w:ascii="Times New Roman" w:hAnsi="Times New Roman"/>
      </w:rPr>
      <w:fldChar w:fldCharType="separate"/>
    </w:r>
    <w:r w:rsidR="00F67ED4">
      <w:rPr>
        <w:rStyle w:val="PageNumber"/>
        <w:rFonts w:ascii="Times New Roman" w:hAnsi="Times New Roman"/>
        <w:noProof/>
      </w:rPr>
      <w:t>4</w:t>
    </w:r>
    <w:r w:rsidRPr="0073101B">
      <w:rPr>
        <w:rStyle w:val="PageNumber"/>
        <w:rFonts w:ascii="Times New Roman" w:hAnsi="Times New Roman"/>
      </w:rPr>
      <w:fldChar w:fldCharType="end"/>
    </w:r>
  </w:p>
  <w:p w:rsidR="006A55FB" w:rsidRPr="0016225C" w:rsidRDefault="00473EC7">
    <w:pPr>
      <w:pStyle w:val="Header"/>
      <w:ind w:right="360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7C03"/>
    <w:multiLevelType w:val="hybridMultilevel"/>
    <w:tmpl w:val="E000DBDC"/>
    <w:lvl w:ilvl="0" w:tplc="AB7E804C">
      <w:start w:val="7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27E08"/>
    <w:multiLevelType w:val="hybridMultilevel"/>
    <w:tmpl w:val="C0D2C006"/>
    <w:lvl w:ilvl="0" w:tplc="B3CAE5AE">
      <w:start w:val="2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1C2565C0"/>
    <w:multiLevelType w:val="hybridMultilevel"/>
    <w:tmpl w:val="E000DBDC"/>
    <w:lvl w:ilvl="0" w:tplc="AB7E804C">
      <w:start w:val="7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1421"/>
    <w:multiLevelType w:val="multilevel"/>
    <w:tmpl w:val="14FC48F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4D0D86"/>
    <w:multiLevelType w:val="hybridMultilevel"/>
    <w:tmpl w:val="5FB28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B122A"/>
    <w:multiLevelType w:val="hybridMultilevel"/>
    <w:tmpl w:val="BB9E2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C4462"/>
    <w:multiLevelType w:val="hybridMultilevel"/>
    <w:tmpl w:val="DF6A6A8E"/>
    <w:lvl w:ilvl="0" w:tplc="215AC6B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796D1DDD"/>
    <w:multiLevelType w:val="hybridMultilevel"/>
    <w:tmpl w:val="5BA0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DC"/>
    <w:rsid w:val="000502DC"/>
    <w:rsid w:val="00087199"/>
    <w:rsid w:val="000C3192"/>
    <w:rsid w:val="0019340F"/>
    <w:rsid w:val="001A7CC4"/>
    <w:rsid w:val="002055AB"/>
    <w:rsid w:val="0025573F"/>
    <w:rsid w:val="002E30D0"/>
    <w:rsid w:val="0038225A"/>
    <w:rsid w:val="00393C3D"/>
    <w:rsid w:val="003C482A"/>
    <w:rsid w:val="00403568"/>
    <w:rsid w:val="00416296"/>
    <w:rsid w:val="00425AA7"/>
    <w:rsid w:val="004416C5"/>
    <w:rsid w:val="00463FE1"/>
    <w:rsid w:val="00473EC7"/>
    <w:rsid w:val="004C2473"/>
    <w:rsid w:val="00537B92"/>
    <w:rsid w:val="005E45C4"/>
    <w:rsid w:val="005E56AB"/>
    <w:rsid w:val="00691182"/>
    <w:rsid w:val="006B5461"/>
    <w:rsid w:val="006B7C6E"/>
    <w:rsid w:val="006E2D11"/>
    <w:rsid w:val="006F306D"/>
    <w:rsid w:val="007003F5"/>
    <w:rsid w:val="00766505"/>
    <w:rsid w:val="007F3E1B"/>
    <w:rsid w:val="008847A2"/>
    <w:rsid w:val="008E1782"/>
    <w:rsid w:val="00912725"/>
    <w:rsid w:val="0095327A"/>
    <w:rsid w:val="009F5D75"/>
    <w:rsid w:val="00A25A1E"/>
    <w:rsid w:val="00A73075"/>
    <w:rsid w:val="00A936D1"/>
    <w:rsid w:val="00AD189B"/>
    <w:rsid w:val="00AF789B"/>
    <w:rsid w:val="00B231A4"/>
    <w:rsid w:val="00B25658"/>
    <w:rsid w:val="00BA244A"/>
    <w:rsid w:val="00BA31F3"/>
    <w:rsid w:val="00BD2FB9"/>
    <w:rsid w:val="00BF6454"/>
    <w:rsid w:val="00C11CB7"/>
    <w:rsid w:val="00CC507C"/>
    <w:rsid w:val="00D06A6C"/>
    <w:rsid w:val="00D44A02"/>
    <w:rsid w:val="00D53FD1"/>
    <w:rsid w:val="00D702DC"/>
    <w:rsid w:val="00E23B28"/>
    <w:rsid w:val="00E30E6B"/>
    <w:rsid w:val="00E316D6"/>
    <w:rsid w:val="00E34E54"/>
    <w:rsid w:val="00E373B3"/>
    <w:rsid w:val="00E37CBD"/>
    <w:rsid w:val="00E60AF4"/>
    <w:rsid w:val="00E64811"/>
    <w:rsid w:val="00E734B9"/>
    <w:rsid w:val="00E979E7"/>
    <w:rsid w:val="00EF1EA0"/>
    <w:rsid w:val="00F67ED4"/>
    <w:rsid w:val="00F80B99"/>
    <w:rsid w:val="00FF1664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63627-B7C1-4765-806A-051DBE5C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2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0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02D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50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2DC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0502DC"/>
  </w:style>
  <w:style w:type="paragraph" w:styleId="ListParagraph">
    <w:name w:val="List Paragraph"/>
    <w:basedOn w:val="Normal"/>
    <w:uiPriority w:val="34"/>
    <w:qFormat/>
    <w:rsid w:val="000502DC"/>
    <w:pPr>
      <w:ind w:left="720"/>
      <w:contextualSpacing/>
    </w:pPr>
  </w:style>
  <w:style w:type="paragraph" w:customStyle="1" w:styleId="Default">
    <w:name w:val="Default"/>
    <w:rsid w:val="006F3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2024-01-04T09:38:00Z</cp:lastPrinted>
  <dcterms:created xsi:type="dcterms:W3CDTF">2025-03-19T07:29:00Z</dcterms:created>
  <dcterms:modified xsi:type="dcterms:W3CDTF">2025-03-19T07:29:00Z</dcterms:modified>
</cp:coreProperties>
</file>